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9DA" w:rsidRPr="00BE1310" w:rsidRDefault="002D79DA" w:rsidP="002D79DA">
      <w:pPr>
        <w:rPr>
          <w:rFonts w:ascii="Arial" w:hAnsi="Arial" w:cs="Arial"/>
          <w:b/>
          <w:sz w:val="20"/>
          <w:szCs w:val="20"/>
        </w:rPr>
      </w:pPr>
      <w:r w:rsidRPr="00BE1310">
        <w:rPr>
          <w:rFonts w:ascii="Arial" w:hAnsi="Arial" w:cs="Arial"/>
          <w:b/>
          <w:sz w:val="20"/>
          <w:szCs w:val="20"/>
        </w:rPr>
        <w:tab/>
      </w:r>
      <w:r w:rsidRPr="00BE1310">
        <w:rPr>
          <w:rFonts w:ascii="Arial" w:hAnsi="Arial" w:cs="Arial"/>
          <w:b/>
          <w:sz w:val="20"/>
          <w:szCs w:val="20"/>
        </w:rPr>
        <w:tab/>
      </w:r>
      <w:r w:rsidRPr="00BE1310">
        <w:rPr>
          <w:rFonts w:ascii="Arial" w:hAnsi="Arial" w:cs="Arial"/>
          <w:b/>
          <w:sz w:val="20"/>
          <w:szCs w:val="20"/>
        </w:rPr>
        <w:tab/>
      </w:r>
      <w:r w:rsidRPr="00BE1310">
        <w:rPr>
          <w:rFonts w:ascii="Arial" w:hAnsi="Arial" w:cs="Arial"/>
          <w:b/>
          <w:sz w:val="20"/>
          <w:szCs w:val="20"/>
        </w:rPr>
        <w:tab/>
      </w:r>
      <w:r w:rsidRPr="00BE1310">
        <w:rPr>
          <w:rFonts w:ascii="Arial" w:hAnsi="Arial" w:cs="Arial"/>
          <w:b/>
          <w:sz w:val="20"/>
          <w:szCs w:val="20"/>
        </w:rPr>
        <w:tab/>
      </w:r>
      <w:r w:rsidRPr="00BE1310">
        <w:rPr>
          <w:rFonts w:ascii="Arial" w:hAnsi="Arial" w:cs="Arial"/>
          <w:b/>
          <w:sz w:val="20"/>
          <w:szCs w:val="20"/>
        </w:rPr>
        <w:tab/>
      </w:r>
    </w:p>
    <w:p w:rsidR="002D79DA" w:rsidRPr="002D79DA" w:rsidRDefault="002D79DA" w:rsidP="002D79DA">
      <w:pPr>
        <w:rPr>
          <w:rFonts w:ascii="Arial" w:hAnsi="Arial" w:cs="Arial"/>
          <w:sz w:val="20"/>
          <w:szCs w:val="20"/>
        </w:rPr>
      </w:pPr>
      <w:r w:rsidRPr="002D79DA">
        <w:rPr>
          <w:rFonts w:ascii="Arial" w:hAnsi="Arial" w:cs="Arial"/>
          <w:sz w:val="20"/>
          <w:szCs w:val="20"/>
        </w:rPr>
        <w:t>KNOWLEDGE OF THE CLIENT'S BUSINESS CHECKLIST</w:t>
      </w:r>
    </w:p>
    <w:p w:rsidR="002D79DA" w:rsidRPr="002D79DA" w:rsidRDefault="002D79DA" w:rsidP="002D79DA">
      <w:pPr>
        <w:rPr>
          <w:rFonts w:ascii="Arial" w:hAnsi="Arial" w:cs="Arial"/>
          <w:sz w:val="20"/>
          <w:szCs w:val="20"/>
        </w:rPr>
      </w:pPr>
    </w:p>
    <w:p w:rsidR="002D79DA" w:rsidRPr="002D79DA" w:rsidRDefault="002D79DA" w:rsidP="002D79DA">
      <w:pPr>
        <w:rPr>
          <w:rFonts w:ascii="Arial" w:hAnsi="Arial" w:cs="Arial"/>
          <w:sz w:val="20"/>
          <w:szCs w:val="20"/>
        </w:rPr>
      </w:pPr>
      <w:r w:rsidRPr="002D79DA">
        <w:rPr>
          <w:rFonts w:ascii="Arial" w:hAnsi="Arial" w:cs="Arial"/>
          <w:sz w:val="20"/>
          <w:szCs w:val="20"/>
        </w:rPr>
        <w:t>This appendix provides a checklist that may help the auditor obtain and document knowledge of</w:t>
      </w:r>
      <w:r w:rsidR="00441127">
        <w:rPr>
          <w:rFonts w:ascii="Arial" w:hAnsi="Arial" w:cs="Arial"/>
          <w:sz w:val="20"/>
          <w:szCs w:val="20"/>
        </w:rPr>
        <w:t xml:space="preserve"> </w:t>
      </w:r>
      <w:r w:rsidRPr="002D79DA">
        <w:rPr>
          <w:rFonts w:ascii="Arial" w:hAnsi="Arial" w:cs="Arial"/>
          <w:sz w:val="20"/>
          <w:szCs w:val="20"/>
        </w:rPr>
        <w:t>some of the characteristics of the client's business. This checklist is not meant to be an</w:t>
      </w:r>
      <w:r w:rsidR="00441127">
        <w:rPr>
          <w:rFonts w:ascii="Arial" w:hAnsi="Arial" w:cs="Arial"/>
          <w:sz w:val="20"/>
          <w:szCs w:val="20"/>
        </w:rPr>
        <w:t xml:space="preserve"> </w:t>
      </w:r>
      <w:r w:rsidRPr="002D79DA">
        <w:rPr>
          <w:rFonts w:ascii="Arial" w:hAnsi="Arial" w:cs="Arial"/>
          <w:sz w:val="20"/>
          <w:szCs w:val="20"/>
        </w:rPr>
        <w:t>exhaustive list of the characteristics of the client's business that may be important for the audit. In</w:t>
      </w:r>
      <w:r w:rsidR="00441127">
        <w:rPr>
          <w:rFonts w:ascii="Arial" w:hAnsi="Arial" w:cs="Arial"/>
          <w:sz w:val="20"/>
          <w:szCs w:val="20"/>
        </w:rPr>
        <w:t xml:space="preserve"> </w:t>
      </w:r>
      <w:r w:rsidRPr="002D79DA">
        <w:rPr>
          <w:rFonts w:ascii="Arial" w:hAnsi="Arial" w:cs="Arial"/>
          <w:sz w:val="20"/>
          <w:szCs w:val="20"/>
        </w:rPr>
        <w:t>addition, this checklist is not designed to group all of the information necessary for understanding</w:t>
      </w:r>
      <w:r w:rsidR="00441127">
        <w:rPr>
          <w:rFonts w:ascii="Arial" w:hAnsi="Arial" w:cs="Arial"/>
          <w:sz w:val="20"/>
          <w:szCs w:val="20"/>
        </w:rPr>
        <w:t xml:space="preserve"> </w:t>
      </w:r>
      <w:r w:rsidRPr="002D79DA">
        <w:rPr>
          <w:rFonts w:ascii="Arial" w:hAnsi="Arial" w:cs="Arial"/>
          <w:sz w:val="20"/>
          <w:szCs w:val="20"/>
        </w:rPr>
        <w:t>internal control for planning purposes and assessing control risk.</w:t>
      </w:r>
    </w:p>
    <w:p w:rsidR="002D79DA" w:rsidRPr="002D79DA" w:rsidRDefault="002D79DA" w:rsidP="002D79DA">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
        <w:gridCol w:w="2787"/>
        <w:gridCol w:w="1393"/>
        <w:gridCol w:w="1394"/>
        <w:gridCol w:w="2787"/>
      </w:tblGrid>
      <w:tr w:rsidR="00441127" w:rsidRPr="0084245D" w:rsidTr="0084245D">
        <w:trPr>
          <w:trHeight w:val="432"/>
        </w:trPr>
        <w:tc>
          <w:tcPr>
            <w:tcW w:w="8856" w:type="dxa"/>
            <w:gridSpan w:val="5"/>
            <w:shd w:val="clear" w:color="auto" w:fill="auto"/>
            <w:vAlign w:val="bottom"/>
          </w:tcPr>
          <w:p w:rsidR="00441127" w:rsidRPr="0084245D" w:rsidRDefault="00441127" w:rsidP="00D82DDA">
            <w:pPr>
              <w:rPr>
                <w:rFonts w:ascii="Arial" w:hAnsi="Arial" w:cs="Arial"/>
                <w:sz w:val="20"/>
                <w:szCs w:val="20"/>
              </w:rPr>
            </w:pPr>
            <w:r w:rsidRPr="0084245D">
              <w:rPr>
                <w:rFonts w:ascii="Arial" w:hAnsi="Arial" w:cs="Arial"/>
                <w:sz w:val="20"/>
                <w:szCs w:val="20"/>
              </w:rPr>
              <w:t>I. KNOWLEDGE OF THE ENTITY</w:t>
            </w:r>
          </w:p>
        </w:tc>
      </w:tr>
      <w:tr w:rsidR="00441127" w:rsidRPr="0084245D" w:rsidTr="0084245D">
        <w:trPr>
          <w:trHeight w:val="432"/>
        </w:trPr>
        <w:tc>
          <w:tcPr>
            <w:tcW w:w="495" w:type="dxa"/>
            <w:shd w:val="clear" w:color="auto" w:fill="auto"/>
            <w:vAlign w:val="bottom"/>
          </w:tcPr>
          <w:p w:rsidR="00441127" w:rsidRPr="0084245D" w:rsidRDefault="00441127" w:rsidP="00D82DDA">
            <w:pPr>
              <w:rPr>
                <w:rFonts w:ascii="Arial" w:hAnsi="Arial" w:cs="Arial"/>
                <w:sz w:val="20"/>
                <w:szCs w:val="20"/>
              </w:rPr>
            </w:pPr>
            <w:r w:rsidRPr="0084245D">
              <w:rPr>
                <w:rFonts w:ascii="Arial" w:hAnsi="Arial" w:cs="Arial"/>
                <w:sz w:val="20"/>
                <w:szCs w:val="20"/>
              </w:rPr>
              <w:t>A.</w:t>
            </w:r>
          </w:p>
        </w:tc>
        <w:tc>
          <w:tcPr>
            <w:tcW w:w="8361" w:type="dxa"/>
            <w:gridSpan w:val="4"/>
            <w:shd w:val="clear" w:color="auto" w:fill="auto"/>
            <w:vAlign w:val="bottom"/>
          </w:tcPr>
          <w:p w:rsidR="00441127" w:rsidRPr="0084245D" w:rsidRDefault="00441127" w:rsidP="00D82DDA">
            <w:pPr>
              <w:rPr>
                <w:rFonts w:ascii="Arial" w:hAnsi="Arial" w:cs="Arial"/>
                <w:sz w:val="20"/>
                <w:szCs w:val="20"/>
              </w:rPr>
            </w:pPr>
            <w:r w:rsidRPr="0084245D">
              <w:rPr>
                <w:rFonts w:ascii="Arial" w:hAnsi="Arial" w:cs="Arial"/>
                <w:sz w:val="20"/>
                <w:szCs w:val="20"/>
              </w:rPr>
              <w:t>CHARACTERISTICS OF OWNERSHIP AND MANAGEMENT</w:t>
            </w:r>
          </w:p>
        </w:tc>
      </w:tr>
      <w:tr w:rsidR="00441127" w:rsidRPr="0084245D" w:rsidTr="0084245D">
        <w:trPr>
          <w:trHeight w:val="432"/>
        </w:trPr>
        <w:tc>
          <w:tcPr>
            <w:tcW w:w="495" w:type="dxa"/>
            <w:shd w:val="clear" w:color="auto" w:fill="auto"/>
            <w:vAlign w:val="bottom"/>
          </w:tcPr>
          <w:p w:rsidR="00441127" w:rsidRPr="0084245D" w:rsidRDefault="00441127" w:rsidP="00D82DDA">
            <w:pPr>
              <w:rPr>
                <w:rFonts w:ascii="Arial" w:hAnsi="Arial" w:cs="Arial"/>
                <w:sz w:val="20"/>
                <w:szCs w:val="20"/>
              </w:rPr>
            </w:pPr>
            <w:r w:rsidRPr="0084245D">
              <w:rPr>
                <w:rFonts w:ascii="Arial" w:hAnsi="Arial" w:cs="Arial"/>
                <w:sz w:val="20"/>
                <w:szCs w:val="20"/>
              </w:rPr>
              <w:t>1.</w:t>
            </w:r>
          </w:p>
        </w:tc>
        <w:tc>
          <w:tcPr>
            <w:tcW w:w="8361" w:type="dxa"/>
            <w:gridSpan w:val="4"/>
            <w:shd w:val="clear" w:color="auto" w:fill="auto"/>
            <w:vAlign w:val="bottom"/>
          </w:tcPr>
          <w:p w:rsidR="00441127" w:rsidRPr="0084245D" w:rsidRDefault="00441127" w:rsidP="0006320A">
            <w:pPr>
              <w:rPr>
                <w:rFonts w:ascii="Arial" w:hAnsi="Arial" w:cs="Arial"/>
                <w:b/>
                <w:sz w:val="20"/>
                <w:szCs w:val="20"/>
              </w:rPr>
            </w:pPr>
            <w:r w:rsidRPr="0084245D">
              <w:rPr>
                <w:rFonts w:ascii="Arial" w:hAnsi="Arial" w:cs="Arial"/>
                <w:b/>
                <w:sz w:val="20"/>
                <w:szCs w:val="20"/>
              </w:rPr>
              <w:t>Type of entity:</w:t>
            </w:r>
          </w:p>
        </w:tc>
      </w:tr>
      <w:tr w:rsidR="00441127" w:rsidRPr="0084245D" w:rsidTr="0084245D">
        <w:trPr>
          <w:trHeight w:val="432"/>
        </w:trPr>
        <w:tc>
          <w:tcPr>
            <w:tcW w:w="495" w:type="dxa"/>
            <w:shd w:val="clear" w:color="auto" w:fill="auto"/>
            <w:vAlign w:val="bottom"/>
          </w:tcPr>
          <w:p w:rsidR="00441127" w:rsidRPr="0084245D" w:rsidRDefault="00441127" w:rsidP="00D82DDA">
            <w:pPr>
              <w:rPr>
                <w:rFonts w:ascii="Arial" w:hAnsi="Arial" w:cs="Arial"/>
                <w:sz w:val="20"/>
                <w:szCs w:val="20"/>
              </w:rPr>
            </w:pPr>
          </w:p>
        </w:tc>
        <w:tc>
          <w:tcPr>
            <w:tcW w:w="4180" w:type="dxa"/>
            <w:gridSpan w:val="2"/>
            <w:shd w:val="clear" w:color="auto" w:fill="auto"/>
            <w:vAlign w:val="bottom"/>
          </w:tcPr>
          <w:p w:rsidR="00441127" w:rsidRPr="0084245D" w:rsidRDefault="00F65A8A" w:rsidP="00D82DDA">
            <w:pPr>
              <w:rPr>
                <w:rFonts w:ascii="Arial" w:hAnsi="Arial" w:cs="Arial"/>
                <w:sz w:val="20"/>
                <w:szCs w:val="20"/>
              </w:rPr>
            </w:pPr>
            <w:r w:rsidRPr="0084245D">
              <w:rPr>
                <w:rFonts w:ascii="Arial" w:hAnsi="Arial" w:cs="Arial"/>
                <w:sz w:val="20"/>
                <w:szCs w:val="20"/>
              </w:rPr>
              <w:fldChar w:fldCharType="begin"/>
            </w:r>
            <w:r w:rsidR="00441127" w:rsidRPr="0084245D">
              <w:rPr>
                <w:rFonts w:ascii="Arial" w:hAnsi="Arial" w:cs="Arial"/>
                <w:sz w:val="20"/>
                <w:szCs w:val="20"/>
              </w:rPr>
              <w:instrText xml:space="preserve"> MACROBUTTON </w:instrText>
            </w:r>
            <w:r w:rsidRPr="0084245D">
              <w:rPr>
                <w:rFonts w:ascii="Arial" w:hAnsi="Arial" w:cs="Arial"/>
                <w:sz w:val="20"/>
                <w:szCs w:val="20"/>
              </w:rPr>
              <w:fldChar w:fldCharType="end"/>
            </w:r>
            <w:bookmarkStart w:id="0" w:name="Check3"/>
            <w:r w:rsidRPr="0084245D">
              <w:rPr>
                <w:rFonts w:ascii="Arial" w:hAnsi="Arial" w:cs="Arial"/>
                <w:sz w:val="20"/>
                <w:szCs w:val="20"/>
              </w:rPr>
              <w:fldChar w:fldCharType="begin">
                <w:ffData>
                  <w:name w:val="Check3"/>
                  <w:enabled/>
                  <w:calcOnExit w:val="0"/>
                  <w:checkBox>
                    <w:sizeAuto/>
                    <w:default w:val="0"/>
                  </w:checkBox>
                </w:ffData>
              </w:fldChar>
            </w:r>
            <w:r w:rsidR="003102CF" w:rsidRPr="0084245D">
              <w:rPr>
                <w:rFonts w:ascii="Arial" w:hAnsi="Arial" w:cs="Arial"/>
                <w:sz w:val="20"/>
                <w:szCs w:val="20"/>
              </w:rPr>
              <w:instrText xml:space="preserve"> FORMCHECKBOX </w:instrText>
            </w:r>
            <w:r w:rsidRPr="0084245D">
              <w:rPr>
                <w:rFonts w:ascii="Arial" w:hAnsi="Arial" w:cs="Arial"/>
                <w:sz w:val="20"/>
                <w:szCs w:val="20"/>
              </w:rPr>
            </w:r>
            <w:r w:rsidRPr="0084245D">
              <w:rPr>
                <w:rFonts w:ascii="Arial" w:hAnsi="Arial" w:cs="Arial"/>
                <w:sz w:val="20"/>
                <w:szCs w:val="20"/>
              </w:rPr>
              <w:fldChar w:fldCharType="end"/>
            </w:r>
            <w:bookmarkEnd w:id="0"/>
            <w:r w:rsidR="004F7E3D" w:rsidRPr="0084245D">
              <w:rPr>
                <w:rFonts w:ascii="Arial" w:hAnsi="Arial" w:cs="Arial"/>
                <w:sz w:val="20"/>
                <w:szCs w:val="20"/>
              </w:rPr>
              <w:t>Corporation</w:t>
            </w:r>
          </w:p>
        </w:tc>
        <w:tc>
          <w:tcPr>
            <w:tcW w:w="4181" w:type="dxa"/>
            <w:gridSpan w:val="2"/>
            <w:shd w:val="clear" w:color="auto" w:fill="auto"/>
            <w:vAlign w:val="bottom"/>
          </w:tcPr>
          <w:p w:rsidR="00441127" w:rsidRPr="0084245D" w:rsidRDefault="00F65A8A" w:rsidP="00D82DDA">
            <w:pPr>
              <w:rPr>
                <w:rFonts w:ascii="Arial" w:hAnsi="Arial" w:cs="Arial"/>
                <w:sz w:val="20"/>
                <w:szCs w:val="20"/>
              </w:rPr>
            </w:pPr>
            <w:r w:rsidRPr="0084245D">
              <w:rPr>
                <w:rFonts w:ascii="Arial" w:hAnsi="Arial" w:cs="Arial"/>
                <w:sz w:val="20"/>
                <w:szCs w:val="20"/>
              </w:rPr>
              <w:fldChar w:fldCharType="begin">
                <w:ffData>
                  <w:name w:val="Check3"/>
                  <w:enabled/>
                  <w:calcOnExit w:val="0"/>
                  <w:checkBox>
                    <w:sizeAuto/>
                    <w:default w:val="0"/>
                  </w:checkBox>
                </w:ffData>
              </w:fldChar>
            </w:r>
            <w:r w:rsidR="004F7E3D" w:rsidRPr="0084245D">
              <w:rPr>
                <w:rFonts w:ascii="Arial" w:hAnsi="Arial" w:cs="Arial"/>
                <w:sz w:val="20"/>
                <w:szCs w:val="20"/>
              </w:rPr>
              <w:instrText xml:space="preserve"> FORMCHECKBOX </w:instrText>
            </w:r>
            <w:r w:rsidRPr="0084245D">
              <w:rPr>
                <w:rFonts w:ascii="Arial" w:hAnsi="Arial" w:cs="Arial"/>
                <w:sz w:val="20"/>
                <w:szCs w:val="20"/>
              </w:rPr>
            </w:r>
            <w:r w:rsidRPr="0084245D">
              <w:rPr>
                <w:rFonts w:ascii="Arial" w:hAnsi="Arial" w:cs="Arial"/>
                <w:sz w:val="20"/>
                <w:szCs w:val="20"/>
              </w:rPr>
              <w:fldChar w:fldCharType="end"/>
            </w:r>
            <w:r w:rsidR="004F7E3D" w:rsidRPr="0084245D">
              <w:rPr>
                <w:rFonts w:ascii="Arial" w:hAnsi="Arial" w:cs="Arial"/>
                <w:sz w:val="20"/>
                <w:szCs w:val="20"/>
              </w:rPr>
              <w:t xml:space="preserve"> Sole proprietorship</w:t>
            </w:r>
          </w:p>
        </w:tc>
      </w:tr>
      <w:tr w:rsidR="00441127" w:rsidRPr="0084245D" w:rsidTr="0084245D">
        <w:trPr>
          <w:trHeight w:val="432"/>
        </w:trPr>
        <w:tc>
          <w:tcPr>
            <w:tcW w:w="495" w:type="dxa"/>
            <w:shd w:val="clear" w:color="auto" w:fill="auto"/>
            <w:vAlign w:val="bottom"/>
          </w:tcPr>
          <w:p w:rsidR="00441127" w:rsidRPr="0084245D" w:rsidRDefault="00441127" w:rsidP="00D82DDA">
            <w:pPr>
              <w:rPr>
                <w:rFonts w:ascii="Arial" w:hAnsi="Arial" w:cs="Arial"/>
                <w:sz w:val="20"/>
                <w:szCs w:val="20"/>
              </w:rPr>
            </w:pPr>
          </w:p>
        </w:tc>
        <w:tc>
          <w:tcPr>
            <w:tcW w:w="4180" w:type="dxa"/>
            <w:gridSpan w:val="2"/>
            <w:shd w:val="clear" w:color="auto" w:fill="auto"/>
            <w:vAlign w:val="bottom"/>
          </w:tcPr>
          <w:p w:rsidR="00441127" w:rsidRPr="0084245D" w:rsidRDefault="004F7E3D" w:rsidP="00B8184F">
            <w:pPr>
              <w:numPr>
                <w:ilvl w:val="0"/>
                <w:numId w:val="3"/>
              </w:numPr>
              <w:ind w:left="945" w:hanging="180"/>
              <w:rPr>
                <w:rFonts w:ascii="Arial" w:hAnsi="Arial" w:cs="Arial"/>
                <w:sz w:val="20"/>
                <w:szCs w:val="20"/>
              </w:rPr>
            </w:pPr>
            <w:r w:rsidRPr="0084245D">
              <w:rPr>
                <w:rFonts w:ascii="Arial" w:hAnsi="Arial" w:cs="Arial"/>
                <w:sz w:val="20"/>
                <w:szCs w:val="20"/>
              </w:rPr>
              <w:t>Private</w:t>
            </w:r>
          </w:p>
          <w:p w:rsidR="004F7E3D" w:rsidRPr="0084245D" w:rsidRDefault="00F65A8A" w:rsidP="0084245D">
            <w:pPr>
              <w:ind w:left="720"/>
              <w:rPr>
                <w:rFonts w:ascii="Arial" w:hAnsi="Arial" w:cs="Arial"/>
                <w:sz w:val="20"/>
                <w:szCs w:val="20"/>
              </w:rPr>
            </w:pPr>
            <w:r w:rsidRPr="0084245D">
              <w:rPr>
                <w:rFonts w:ascii="Arial" w:hAnsi="Arial" w:cs="Arial"/>
                <w:sz w:val="20"/>
                <w:szCs w:val="20"/>
              </w:rPr>
              <w:fldChar w:fldCharType="begin">
                <w:ffData>
                  <w:name w:val="Check3"/>
                  <w:enabled/>
                  <w:calcOnExit w:val="0"/>
                  <w:checkBox>
                    <w:sizeAuto/>
                    <w:default w:val="0"/>
                  </w:checkBox>
                </w:ffData>
              </w:fldChar>
            </w:r>
            <w:r w:rsidR="004F7E3D" w:rsidRPr="0084245D">
              <w:rPr>
                <w:rFonts w:ascii="Arial" w:hAnsi="Arial" w:cs="Arial"/>
                <w:sz w:val="20"/>
                <w:szCs w:val="20"/>
              </w:rPr>
              <w:instrText xml:space="preserve"> FORMCHECKBOX </w:instrText>
            </w:r>
            <w:r w:rsidRPr="0084245D">
              <w:rPr>
                <w:rFonts w:ascii="Arial" w:hAnsi="Arial" w:cs="Arial"/>
                <w:sz w:val="20"/>
                <w:szCs w:val="20"/>
              </w:rPr>
            </w:r>
            <w:r w:rsidRPr="0084245D">
              <w:rPr>
                <w:rFonts w:ascii="Arial" w:hAnsi="Arial" w:cs="Arial"/>
                <w:sz w:val="20"/>
                <w:szCs w:val="20"/>
              </w:rPr>
              <w:fldChar w:fldCharType="end"/>
            </w:r>
            <w:r w:rsidR="004F7E3D" w:rsidRPr="0084245D">
              <w:rPr>
                <w:rFonts w:ascii="Arial" w:hAnsi="Arial" w:cs="Arial"/>
                <w:sz w:val="20"/>
                <w:szCs w:val="20"/>
              </w:rPr>
              <w:t>Public</w:t>
            </w:r>
          </w:p>
        </w:tc>
        <w:tc>
          <w:tcPr>
            <w:tcW w:w="4181" w:type="dxa"/>
            <w:gridSpan w:val="2"/>
            <w:shd w:val="clear" w:color="auto" w:fill="auto"/>
            <w:vAlign w:val="bottom"/>
          </w:tcPr>
          <w:p w:rsidR="00441127" w:rsidRPr="0084245D" w:rsidRDefault="00F65A8A" w:rsidP="00D82DDA">
            <w:pPr>
              <w:rPr>
                <w:rFonts w:ascii="Arial" w:hAnsi="Arial" w:cs="Arial"/>
                <w:sz w:val="20"/>
                <w:szCs w:val="20"/>
              </w:rPr>
            </w:pPr>
            <w:r w:rsidRPr="0084245D">
              <w:rPr>
                <w:rFonts w:ascii="Arial" w:hAnsi="Arial" w:cs="Arial"/>
                <w:sz w:val="20"/>
                <w:szCs w:val="20"/>
              </w:rPr>
              <w:fldChar w:fldCharType="begin">
                <w:ffData>
                  <w:name w:val="Check3"/>
                  <w:enabled/>
                  <w:calcOnExit w:val="0"/>
                  <w:checkBox>
                    <w:sizeAuto/>
                    <w:default w:val="0"/>
                  </w:checkBox>
                </w:ffData>
              </w:fldChar>
            </w:r>
            <w:r w:rsidR="004F7E3D" w:rsidRPr="0084245D">
              <w:rPr>
                <w:rFonts w:ascii="Arial" w:hAnsi="Arial" w:cs="Arial"/>
                <w:sz w:val="20"/>
                <w:szCs w:val="20"/>
              </w:rPr>
              <w:instrText xml:space="preserve"> FORMCHECKBOX </w:instrText>
            </w:r>
            <w:r w:rsidRPr="0084245D">
              <w:rPr>
                <w:rFonts w:ascii="Arial" w:hAnsi="Arial" w:cs="Arial"/>
                <w:sz w:val="20"/>
                <w:szCs w:val="20"/>
              </w:rPr>
            </w:r>
            <w:r w:rsidRPr="0084245D">
              <w:rPr>
                <w:rFonts w:ascii="Arial" w:hAnsi="Arial" w:cs="Arial"/>
                <w:sz w:val="20"/>
                <w:szCs w:val="20"/>
              </w:rPr>
              <w:fldChar w:fldCharType="end"/>
            </w:r>
            <w:r w:rsidR="004F7E3D" w:rsidRPr="0084245D">
              <w:rPr>
                <w:rFonts w:ascii="Arial" w:hAnsi="Arial" w:cs="Arial"/>
                <w:sz w:val="20"/>
                <w:szCs w:val="20"/>
              </w:rPr>
              <w:t xml:space="preserve"> Joint venture</w:t>
            </w:r>
          </w:p>
        </w:tc>
      </w:tr>
      <w:tr w:rsidR="00441127" w:rsidRPr="0084245D" w:rsidTr="0084245D">
        <w:trPr>
          <w:trHeight w:val="432"/>
        </w:trPr>
        <w:tc>
          <w:tcPr>
            <w:tcW w:w="495" w:type="dxa"/>
            <w:shd w:val="clear" w:color="auto" w:fill="auto"/>
            <w:vAlign w:val="bottom"/>
          </w:tcPr>
          <w:p w:rsidR="00441127" w:rsidRPr="0084245D" w:rsidRDefault="00441127" w:rsidP="00D82DDA">
            <w:pPr>
              <w:rPr>
                <w:rFonts w:ascii="Arial" w:hAnsi="Arial" w:cs="Arial"/>
                <w:sz w:val="20"/>
                <w:szCs w:val="20"/>
              </w:rPr>
            </w:pPr>
          </w:p>
        </w:tc>
        <w:tc>
          <w:tcPr>
            <w:tcW w:w="4180" w:type="dxa"/>
            <w:gridSpan w:val="2"/>
            <w:shd w:val="clear" w:color="auto" w:fill="auto"/>
            <w:vAlign w:val="bottom"/>
          </w:tcPr>
          <w:p w:rsidR="00441127" w:rsidRPr="0084245D" w:rsidRDefault="00F65A8A" w:rsidP="00D82DDA">
            <w:pPr>
              <w:rPr>
                <w:rFonts w:ascii="Arial" w:hAnsi="Arial" w:cs="Arial"/>
                <w:sz w:val="20"/>
                <w:szCs w:val="20"/>
              </w:rPr>
            </w:pPr>
            <w:r w:rsidRPr="0084245D">
              <w:rPr>
                <w:rFonts w:ascii="Arial" w:hAnsi="Arial" w:cs="Arial"/>
                <w:sz w:val="20"/>
                <w:szCs w:val="20"/>
              </w:rPr>
              <w:fldChar w:fldCharType="begin">
                <w:ffData>
                  <w:name w:val="Check3"/>
                  <w:enabled/>
                  <w:calcOnExit w:val="0"/>
                  <w:checkBox>
                    <w:sizeAuto/>
                    <w:default w:val="0"/>
                  </w:checkBox>
                </w:ffData>
              </w:fldChar>
            </w:r>
            <w:r w:rsidR="004F7E3D" w:rsidRPr="0084245D">
              <w:rPr>
                <w:rFonts w:ascii="Arial" w:hAnsi="Arial" w:cs="Arial"/>
                <w:sz w:val="20"/>
                <w:szCs w:val="20"/>
              </w:rPr>
              <w:instrText xml:space="preserve"> FORMCHECKBOX </w:instrText>
            </w:r>
            <w:r w:rsidRPr="0084245D">
              <w:rPr>
                <w:rFonts w:ascii="Arial" w:hAnsi="Arial" w:cs="Arial"/>
                <w:sz w:val="20"/>
                <w:szCs w:val="20"/>
              </w:rPr>
            </w:r>
            <w:r w:rsidRPr="0084245D">
              <w:rPr>
                <w:rFonts w:ascii="Arial" w:hAnsi="Arial" w:cs="Arial"/>
                <w:sz w:val="20"/>
                <w:szCs w:val="20"/>
              </w:rPr>
              <w:fldChar w:fldCharType="end"/>
            </w:r>
            <w:r w:rsidR="004F7E3D" w:rsidRPr="0084245D">
              <w:rPr>
                <w:rFonts w:ascii="Arial" w:hAnsi="Arial" w:cs="Arial"/>
                <w:sz w:val="20"/>
                <w:szCs w:val="20"/>
              </w:rPr>
              <w:t xml:space="preserve"> Crown corporation</w:t>
            </w:r>
          </w:p>
        </w:tc>
        <w:tc>
          <w:tcPr>
            <w:tcW w:w="4181" w:type="dxa"/>
            <w:gridSpan w:val="2"/>
            <w:shd w:val="clear" w:color="auto" w:fill="auto"/>
            <w:vAlign w:val="bottom"/>
          </w:tcPr>
          <w:p w:rsidR="00441127" w:rsidRPr="0084245D" w:rsidRDefault="00F65A8A" w:rsidP="00D82DDA">
            <w:pPr>
              <w:rPr>
                <w:rFonts w:ascii="Arial" w:hAnsi="Arial" w:cs="Arial"/>
                <w:sz w:val="20"/>
                <w:szCs w:val="20"/>
              </w:rPr>
            </w:pPr>
            <w:r w:rsidRPr="0084245D">
              <w:rPr>
                <w:rFonts w:ascii="Arial" w:hAnsi="Arial" w:cs="Arial"/>
                <w:sz w:val="20"/>
                <w:szCs w:val="20"/>
              </w:rPr>
              <w:fldChar w:fldCharType="begin">
                <w:ffData>
                  <w:name w:val="Check3"/>
                  <w:enabled/>
                  <w:calcOnExit w:val="0"/>
                  <w:checkBox>
                    <w:sizeAuto/>
                    <w:default w:val="0"/>
                  </w:checkBox>
                </w:ffData>
              </w:fldChar>
            </w:r>
            <w:r w:rsidR="004F7E3D" w:rsidRPr="0084245D">
              <w:rPr>
                <w:rFonts w:ascii="Arial" w:hAnsi="Arial" w:cs="Arial"/>
                <w:sz w:val="20"/>
                <w:szCs w:val="20"/>
              </w:rPr>
              <w:instrText xml:space="preserve"> FORMCHECKBOX </w:instrText>
            </w:r>
            <w:r w:rsidRPr="0084245D">
              <w:rPr>
                <w:rFonts w:ascii="Arial" w:hAnsi="Arial" w:cs="Arial"/>
                <w:sz w:val="20"/>
                <w:szCs w:val="20"/>
              </w:rPr>
            </w:r>
            <w:r w:rsidRPr="0084245D">
              <w:rPr>
                <w:rFonts w:ascii="Arial" w:hAnsi="Arial" w:cs="Arial"/>
                <w:sz w:val="20"/>
                <w:szCs w:val="20"/>
              </w:rPr>
              <w:fldChar w:fldCharType="end"/>
            </w:r>
            <w:r w:rsidR="004F7E3D" w:rsidRPr="0084245D">
              <w:rPr>
                <w:rFonts w:ascii="Arial" w:hAnsi="Arial" w:cs="Arial"/>
                <w:sz w:val="20"/>
                <w:szCs w:val="20"/>
              </w:rPr>
              <w:t xml:space="preserve"> General partnership</w:t>
            </w:r>
          </w:p>
        </w:tc>
      </w:tr>
      <w:tr w:rsidR="004F7E3D" w:rsidRPr="0084245D" w:rsidTr="0084245D">
        <w:trPr>
          <w:trHeight w:val="432"/>
        </w:trPr>
        <w:tc>
          <w:tcPr>
            <w:tcW w:w="495" w:type="dxa"/>
            <w:shd w:val="clear" w:color="auto" w:fill="auto"/>
            <w:vAlign w:val="bottom"/>
          </w:tcPr>
          <w:p w:rsidR="004F7E3D" w:rsidRPr="0084245D" w:rsidRDefault="004F7E3D" w:rsidP="00D82DDA">
            <w:pPr>
              <w:rPr>
                <w:rFonts w:ascii="Arial" w:hAnsi="Arial" w:cs="Arial"/>
                <w:sz w:val="20"/>
                <w:szCs w:val="20"/>
              </w:rPr>
            </w:pPr>
          </w:p>
        </w:tc>
        <w:tc>
          <w:tcPr>
            <w:tcW w:w="4180" w:type="dxa"/>
            <w:gridSpan w:val="2"/>
            <w:shd w:val="clear" w:color="auto" w:fill="auto"/>
            <w:vAlign w:val="bottom"/>
          </w:tcPr>
          <w:p w:rsidR="004F7E3D" w:rsidRPr="0084245D" w:rsidRDefault="00F65A8A" w:rsidP="00D82DDA">
            <w:pPr>
              <w:rPr>
                <w:rFonts w:ascii="Arial" w:hAnsi="Arial" w:cs="Arial"/>
                <w:sz w:val="20"/>
                <w:szCs w:val="20"/>
              </w:rPr>
            </w:pPr>
            <w:r w:rsidRPr="0084245D">
              <w:rPr>
                <w:rFonts w:ascii="Arial" w:hAnsi="Arial" w:cs="Arial"/>
                <w:sz w:val="20"/>
                <w:szCs w:val="20"/>
              </w:rPr>
              <w:fldChar w:fldCharType="begin">
                <w:ffData>
                  <w:name w:val="Check3"/>
                  <w:enabled/>
                  <w:calcOnExit w:val="0"/>
                  <w:checkBox>
                    <w:sizeAuto/>
                    <w:default w:val="0"/>
                  </w:checkBox>
                </w:ffData>
              </w:fldChar>
            </w:r>
            <w:r w:rsidR="004F7E3D" w:rsidRPr="0084245D">
              <w:rPr>
                <w:rFonts w:ascii="Arial" w:hAnsi="Arial" w:cs="Arial"/>
                <w:sz w:val="20"/>
                <w:szCs w:val="20"/>
              </w:rPr>
              <w:instrText xml:space="preserve"> FORMCHECKBOX </w:instrText>
            </w:r>
            <w:r w:rsidRPr="0084245D">
              <w:rPr>
                <w:rFonts w:ascii="Arial" w:hAnsi="Arial" w:cs="Arial"/>
                <w:sz w:val="20"/>
                <w:szCs w:val="20"/>
              </w:rPr>
            </w:r>
            <w:r w:rsidRPr="0084245D">
              <w:rPr>
                <w:rFonts w:ascii="Arial" w:hAnsi="Arial" w:cs="Arial"/>
                <w:sz w:val="20"/>
                <w:szCs w:val="20"/>
              </w:rPr>
              <w:fldChar w:fldCharType="end"/>
            </w:r>
            <w:r w:rsidR="004F7E3D" w:rsidRPr="0084245D">
              <w:rPr>
                <w:rFonts w:ascii="Arial" w:hAnsi="Arial" w:cs="Arial"/>
                <w:sz w:val="20"/>
                <w:szCs w:val="20"/>
              </w:rPr>
              <w:t xml:space="preserve"> Not-for-profit organization</w:t>
            </w:r>
          </w:p>
        </w:tc>
        <w:tc>
          <w:tcPr>
            <w:tcW w:w="4181" w:type="dxa"/>
            <w:gridSpan w:val="2"/>
            <w:shd w:val="clear" w:color="auto" w:fill="auto"/>
            <w:vAlign w:val="bottom"/>
          </w:tcPr>
          <w:p w:rsidR="004F7E3D" w:rsidRPr="0084245D" w:rsidRDefault="00F65A8A" w:rsidP="00D82DDA">
            <w:pPr>
              <w:rPr>
                <w:rFonts w:ascii="Arial" w:hAnsi="Arial" w:cs="Arial"/>
                <w:sz w:val="20"/>
                <w:szCs w:val="20"/>
              </w:rPr>
            </w:pPr>
            <w:r w:rsidRPr="0084245D">
              <w:rPr>
                <w:rFonts w:ascii="Arial" w:hAnsi="Arial" w:cs="Arial"/>
                <w:sz w:val="20"/>
                <w:szCs w:val="20"/>
              </w:rPr>
              <w:fldChar w:fldCharType="begin">
                <w:ffData>
                  <w:name w:val="Check3"/>
                  <w:enabled/>
                  <w:calcOnExit w:val="0"/>
                  <w:checkBox>
                    <w:sizeAuto/>
                    <w:default w:val="0"/>
                  </w:checkBox>
                </w:ffData>
              </w:fldChar>
            </w:r>
            <w:r w:rsidR="004F7E3D" w:rsidRPr="0084245D">
              <w:rPr>
                <w:rFonts w:ascii="Arial" w:hAnsi="Arial" w:cs="Arial"/>
                <w:sz w:val="20"/>
                <w:szCs w:val="20"/>
              </w:rPr>
              <w:instrText xml:space="preserve"> FORMCHECKBOX </w:instrText>
            </w:r>
            <w:r w:rsidRPr="0084245D">
              <w:rPr>
                <w:rFonts w:ascii="Arial" w:hAnsi="Arial" w:cs="Arial"/>
                <w:sz w:val="20"/>
                <w:szCs w:val="20"/>
              </w:rPr>
            </w:r>
            <w:r w:rsidRPr="0084245D">
              <w:rPr>
                <w:rFonts w:ascii="Arial" w:hAnsi="Arial" w:cs="Arial"/>
                <w:sz w:val="20"/>
                <w:szCs w:val="20"/>
              </w:rPr>
              <w:fldChar w:fldCharType="end"/>
            </w:r>
            <w:r w:rsidR="004F7E3D" w:rsidRPr="0084245D">
              <w:rPr>
                <w:rFonts w:ascii="Arial" w:hAnsi="Arial" w:cs="Arial"/>
                <w:sz w:val="20"/>
                <w:szCs w:val="20"/>
              </w:rPr>
              <w:t xml:space="preserve"> Limited partnership</w:t>
            </w:r>
          </w:p>
        </w:tc>
      </w:tr>
      <w:tr w:rsidR="007F6560" w:rsidRPr="0084245D" w:rsidTr="0084245D">
        <w:trPr>
          <w:trHeight w:val="432"/>
        </w:trPr>
        <w:tc>
          <w:tcPr>
            <w:tcW w:w="495" w:type="dxa"/>
            <w:shd w:val="clear" w:color="auto" w:fill="auto"/>
            <w:vAlign w:val="bottom"/>
          </w:tcPr>
          <w:p w:rsidR="007F6560" w:rsidRPr="0084245D" w:rsidRDefault="007F6560" w:rsidP="00D82DDA">
            <w:pPr>
              <w:rPr>
                <w:rFonts w:ascii="Arial" w:hAnsi="Arial" w:cs="Arial"/>
                <w:sz w:val="20"/>
                <w:szCs w:val="20"/>
              </w:rPr>
            </w:pPr>
          </w:p>
        </w:tc>
        <w:tc>
          <w:tcPr>
            <w:tcW w:w="8361" w:type="dxa"/>
            <w:gridSpan w:val="4"/>
            <w:shd w:val="clear" w:color="auto" w:fill="auto"/>
            <w:vAlign w:val="bottom"/>
          </w:tcPr>
          <w:p w:rsidR="007F6560" w:rsidRPr="0084245D" w:rsidRDefault="00F65A8A" w:rsidP="00D82DDA">
            <w:pPr>
              <w:rPr>
                <w:rFonts w:ascii="Arial" w:hAnsi="Arial" w:cs="Arial"/>
                <w:sz w:val="20"/>
                <w:szCs w:val="20"/>
              </w:rPr>
            </w:pPr>
            <w:r w:rsidRPr="0084245D">
              <w:rPr>
                <w:rFonts w:ascii="Arial" w:hAnsi="Arial" w:cs="Arial"/>
                <w:sz w:val="20"/>
                <w:szCs w:val="20"/>
              </w:rPr>
              <w:fldChar w:fldCharType="begin">
                <w:ffData>
                  <w:name w:val="Check3"/>
                  <w:enabled/>
                  <w:calcOnExit w:val="0"/>
                  <w:checkBox>
                    <w:sizeAuto/>
                    <w:default w:val="0"/>
                  </w:checkBox>
                </w:ffData>
              </w:fldChar>
            </w:r>
            <w:r w:rsidR="007F6560" w:rsidRPr="0084245D">
              <w:rPr>
                <w:rFonts w:ascii="Arial" w:hAnsi="Arial" w:cs="Arial"/>
                <w:sz w:val="20"/>
                <w:szCs w:val="20"/>
              </w:rPr>
              <w:instrText xml:space="preserve"> FORMCHECKBOX </w:instrText>
            </w:r>
            <w:r w:rsidRPr="0084245D">
              <w:rPr>
                <w:rFonts w:ascii="Arial" w:hAnsi="Arial" w:cs="Arial"/>
                <w:sz w:val="20"/>
                <w:szCs w:val="20"/>
              </w:rPr>
            </w:r>
            <w:r w:rsidRPr="0084245D">
              <w:rPr>
                <w:rFonts w:ascii="Arial" w:hAnsi="Arial" w:cs="Arial"/>
                <w:sz w:val="20"/>
                <w:szCs w:val="20"/>
              </w:rPr>
              <w:fldChar w:fldCharType="end"/>
            </w:r>
            <w:r w:rsidR="007F6560" w:rsidRPr="0084245D">
              <w:rPr>
                <w:rFonts w:ascii="Arial" w:hAnsi="Arial" w:cs="Arial"/>
                <w:sz w:val="20"/>
                <w:szCs w:val="20"/>
              </w:rPr>
              <w:t xml:space="preserve"> Other (describe)</w:t>
            </w:r>
          </w:p>
        </w:tc>
      </w:tr>
      <w:tr w:rsidR="004F7E3D" w:rsidRPr="0084245D" w:rsidTr="0084245D">
        <w:trPr>
          <w:trHeight w:val="432"/>
        </w:trPr>
        <w:tc>
          <w:tcPr>
            <w:tcW w:w="495" w:type="dxa"/>
            <w:shd w:val="clear" w:color="auto" w:fill="auto"/>
            <w:vAlign w:val="bottom"/>
          </w:tcPr>
          <w:p w:rsidR="004F7E3D" w:rsidRPr="0084245D" w:rsidRDefault="004F7E3D" w:rsidP="00D82DDA">
            <w:pPr>
              <w:rPr>
                <w:rFonts w:ascii="Arial" w:hAnsi="Arial" w:cs="Arial"/>
                <w:sz w:val="20"/>
                <w:szCs w:val="20"/>
              </w:rPr>
            </w:pPr>
            <w:r w:rsidRPr="0084245D">
              <w:rPr>
                <w:rFonts w:ascii="Arial" w:hAnsi="Arial" w:cs="Arial"/>
                <w:sz w:val="20"/>
                <w:szCs w:val="20"/>
              </w:rPr>
              <w:t>2.</w:t>
            </w:r>
          </w:p>
        </w:tc>
        <w:tc>
          <w:tcPr>
            <w:tcW w:w="8361" w:type="dxa"/>
            <w:gridSpan w:val="4"/>
            <w:shd w:val="clear" w:color="auto" w:fill="auto"/>
            <w:vAlign w:val="bottom"/>
          </w:tcPr>
          <w:p w:rsidR="004F7E3D" w:rsidRPr="0084245D" w:rsidRDefault="0006320A" w:rsidP="00D82DDA">
            <w:pPr>
              <w:rPr>
                <w:rFonts w:ascii="Arial" w:hAnsi="Arial" w:cs="Arial"/>
                <w:b/>
                <w:sz w:val="20"/>
                <w:szCs w:val="20"/>
              </w:rPr>
            </w:pPr>
            <w:r w:rsidRPr="0084245D">
              <w:rPr>
                <w:rFonts w:ascii="Arial" w:hAnsi="Arial" w:cs="Arial"/>
                <w:b/>
                <w:sz w:val="20"/>
                <w:szCs w:val="20"/>
              </w:rPr>
              <w:t xml:space="preserve">Jurisdiction of incorporation: </w:t>
            </w:r>
          </w:p>
        </w:tc>
      </w:tr>
      <w:tr w:rsidR="0006320A" w:rsidRPr="0084245D" w:rsidTr="0084245D">
        <w:trPr>
          <w:trHeight w:val="432"/>
        </w:trPr>
        <w:tc>
          <w:tcPr>
            <w:tcW w:w="495" w:type="dxa"/>
            <w:shd w:val="clear" w:color="auto" w:fill="auto"/>
            <w:vAlign w:val="bottom"/>
          </w:tcPr>
          <w:p w:rsidR="0006320A" w:rsidRPr="0084245D" w:rsidRDefault="0006320A" w:rsidP="00D82DDA">
            <w:pPr>
              <w:rPr>
                <w:rFonts w:ascii="Arial" w:hAnsi="Arial" w:cs="Arial"/>
                <w:sz w:val="20"/>
                <w:szCs w:val="20"/>
              </w:rPr>
            </w:pPr>
          </w:p>
        </w:tc>
        <w:tc>
          <w:tcPr>
            <w:tcW w:w="8361" w:type="dxa"/>
            <w:gridSpan w:val="4"/>
            <w:shd w:val="clear" w:color="auto" w:fill="auto"/>
            <w:vAlign w:val="bottom"/>
          </w:tcPr>
          <w:p w:rsidR="0006320A" w:rsidRPr="0084245D" w:rsidRDefault="0006320A" w:rsidP="00D82DDA">
            <w:pPr>
              <w:rPr>
                <w:rFonts w:ascii="Bradley Hand ITC" w:hAnsi="Bradley Hand ITC" w:cs="Arial"/>
                <w:sz w:val="20"/>
                <w:szCs w:val="20"/>
              </w:rPr>
            </w:pPr>
            <w:r w:rsidRPr="0084245D">
              <w:rPr>
                <w:rFonts w:ascii="Arial" w:hAnsi="Arial" w:cs="Arial"/>
                <w:sz w:val="20"/>
                <w:szCs w:val="20"/>
              </w:rPr>
              <w:t>Statute:</w:t>
            </w:r>
            <w:r w:rsidR="00865892" w:rsidRPr="0084245D">
              <w:rPr>
                <w:rFonts w:ascii="Arial" w:hAnsi="Arial" w:cs="Arial"/>
                <w:sz w:val="20"/>
                <w:szCs w:val="20"/>
              </w:rPr>
              <w:t xml:space="preserve">  </w:t>
            </w:r>
            <w:r w:rsidR="00C62E56" w:rsidRPr="00694B01">
              <w:rPr>
                <w:rFonts w:ascii="Bradley Hand ITC" w:hAnsi="Bradley Hand ITC" w:cs="Arial"/>
                <w:sz w:val="20"/>
                <w:szCs w:val="20"/>
              </w:rPr>
              <w:t>Alberta</w:t>
            </w:r>
          </w:p>
        </w:tc>
      </w:tr>
      <w:tr w:rsidR="007F6560" w:rsidRPr="0084245D" w:rsidTr="0084245D">
        <w:trPr>
          <w:trHeight w:val="432"/>
        </w:trPr>
        <w:tc>
          <w:tcPr>
            <w:tcW w:w="495" w:type="dxa"/>
            <w:shd w:val="clear" w:color="auto" w:fill="auto"/>
            <w:vAlign w:val="bottom"/>
          </w:tcPr>
          <w:p w:rsidR="007F6560" w:rsidRPr="0084245D" w:rsidRDefault="007F6560" w:rsidP="00D82DDA">
            <w:pPr>
              <w:rPr>
                <w:rFonts w:ascii="Arial" w:hAnsi="Arial" w:cs="Arial"/>
                <w:sz w:val="20"/>
                <w:szCs w:val="20"/>
              </w:rPr>
            </w:pPr>
          </w:p>
        </w:tc>
        <w:tc>
          <w:tcPr>
            <w:tcW w:w="8361" w:type="dxa"/>
            <w:gridSpan w:val="4"/>
            <w:shd w:val="clear" w:color="auto" w:fill="auto"/>
            <w:vAlign w:val="bottom"/>
          </w:tcPr>
          <w:p w:rsidR="007F6560" w:rsidRPr="0084245D" w:rsidRDefault="007F6560" w:rsidP="00D82DDA">
            <w:pPr>
              <w:rPr>
                <w:rFonts w:ascii="Bradley Hand ITC" w:hAnsi="Bradley Hand ITC" w:cs="Arial"/>
                <w:sz w:val="20"/>
                <w:szCs w:val="20"/>
              </w:rPr>
            </w:pPr>
            <w:r w:rsidRPr="0084245D">
              <w:rPr>
                <w:rFonts w:ascii="Arial" w:hAnsi="Arial" w:cs="Arial"/>
                <w:sz w:val="20"/>
                <w:szCs w:val="20"/>
              </w:rPr>
              <w:t>Date:</w:t>
            </w:r>
            <w:r w:rsidR="00865892" w:rsidRPr="0084245D">
              <w:rPr>
                <w:rFonts w:ascii="Arial" w:hAnsi="Arial" w:cs="Arial"/>
                <w:sz w:val="20"/>
                <w:szCs w:val="20"/>
              </w:rPr>
              <w:t xml:space="preserve">  </w:t>
            </w:r>
            <w:r w:rsidR="00C62E56" w:rsidRPr="00694B01">
              <w:rPr>
                <w:rFonts w:ascii="Bradley Hand ITC" w:hAnsi="Bradley Hand ITC" w:cs="Arial"/>
                <w:sz w:val="20"/>
                <w:szCs w:val="20"/>
              </w:rPr>
              <w:t>Not Available</w:t>
            </w:r>
            <w:r w:rsidR="00C62E56">
              <w:rPr>
                <w:rFonts w:ascii="Arial" w:hAnsi="Arial" w:cs="Arial"/>
                <w:sz w:val="20"/>
                <w:szCs w:val="20"/>
              </w:rPr>
              <w:t xml:space="preserve"> </w:t>
            </w:r>
          </w:p>
        </w:tc>
      </w:tr>
      <w:tr w:rsidR="007F6560" w:rsidRPr="0084245D" w:rsidTr="0084245D">
        <w:trPr>
          <w:trHeight w:val="432"/>
        </w:trPr>
        <w:tc>
          <w:tcPr>
            <w:tcW w:w="495" w:type="dxa"/>
            <w:shd w:val="clear" w:color="auto" w:fill="auto"/>
            <w:vAlign w:val="bottom"/>
          </w:tcPr>
          <w:p w:rsidR="007F6560" w:rsidRPr="0084245D" w:rsidRDefault="007F6560" w:rsidP="00D82DDA">
            <w:pPr>
              <w:rPr>
                <w:rFonts w:ascii="Arial" w:hAnsi="Arial" w:cs="Arial"/>
                <w:sz w:val="20"/>
                <w:szCs w:val="20"/>
              </w:rPr>
            </w:pPr>
            <w:r w:rsidRPr="0084245D">
              <w:rPr>
                <w:rFonts w:ascii="Arial" w:hAnsi="Arial" w:cs="Arial"/>
                <w:sz w:val="20"/>
                <w:szCs w:val="20"/>
              </w:rPr>
              <w:t>3.</w:t>
            </w:r>
          </w:p>
        </w:tc>
        <w:tc>
          <w:tcPr>
            <w:tcW w:w="8361" w:type="dxa"/>
            <w:gridSpan w:val="4"/>
            <w:shd w:val="clear" w:color="auto" w:fill="auto"/>
            <w:vAlign w:val="bottom"/>
          </w:tcPr>
          <w:p w:rsidR="007F6560" w:rsidRPr="0084245D" w:rsidRDefault="007F6560" w:rsidP="00D82DDA">
            <w:pPr>
              <w:rPr>
                <w:rFonts w:ascii="Arial" w:hAnsi="Arial" w:cs="Arial"/>
                <w:b/>
                <w:sz w:val="20"/>
                <w:szCs w:val="20"/>
              </w:rPr>
            </w:pPr>
            <w:r w:rsidRPr="0084245D">
              <w:rPr>
                <w:rFonts w:ascii="Arial" w:hAnsi="Arial" w:cs="Arial"/>
                <w:b/>
                <w:sz w:val="20"/>
                <w:szCs w:val="20"/>
              </w:rPr>
              <w:t>Listed on stock exchange: (name of stock exchanges, listed securities)</w:t>
            </w:r>
            <w:r w:rsidRPr="0084245D">
              <w:rPr>
                <w:rFonts w:ascii="Arial" w:hAnsi="Arial" w:cs="Arial"/>
                <w:b/>
                <w:sz w:val="20"/>
                <w:szCs w:val="20"/>
              </w:rPr>
              <w:tab/>
            </w:r>
          </w:p>
        </w:tc>
      </w:tr>
      <w:tr w:rsidR="007F6560" w:rsidRPr="0084245D" w:rsidTr="0084245D">
        <w:trPr>
          <w:trHeight w:val="432"/>
        </w:trPr>
        <w:tc>
          <w:tcPr>
            <w:tcW w:w="495" w:type="dxa"/>
            <w:shd w:val="clear" w:color="auto" w:fill="auto"/>
            <w:vAlign w:val="bottom"/>
          </w:tcPr>
          <w:p w:rsidR="007F6560" w:rsidRPr="0084245D" w:rsidRDefault="007F6560" w:rsidP="00D82DDA">
            <w:pPr>
              <w:rPr>
                <w:rFonts w:ascii="Arial" w:hAnsi="Arial" w:cs="Arial"/>
                <w:sz w:val="20"/>
                <w:szCs w:val="20"/>
              </w:rPr>
            </w:pPr>
          </w:p>
        </w:tc>
        <w:tc>
          <w:tcPr>
            <w:tcW w:w="8361" w:type="dxa"/>
            <w:gridSpan w:val="4"/>
            <w:shd w:val="clear" w:color="auto" w:fill="auto"/>
            <w:vAlign w:val="bottom"/>
          </w:tcPr>
          <w:p w:rsidR="007F6560" w:rsidRPr="0084245D" w:rsidRDefault="00C62E56" w:rsidP="00D82DDA">
            <w:pPr>
              <w:rPr>
                <w:rFonts w:ascii="Bradley Hand ITC" w:hAnsi="Bradley Hand ITC" w:cs="Arial"/>
                <w:sz w:val="20"/>
                <w:szCs w:val="20"/>
              </w:rPr>
            </w:pPr>
            <w:r>
              <w:rPr>
                <w:rFonts w:ascii="Bradley Hand ITC" w:hAnsi="Bradley Hand ITC" w:cs="Arial"/>
                <w:sz w:val="20"/>
                <w:szCs w:val="20"/>
              </w:rPr>
              <w:t xml:space="preserve">Not Applicable </w:t>
            </w:r>
          </w:p>
        </w:tc>
      </w:tr>
      <w:tr w:rsidR="007F6560" w:rsidRPr="0084245D" w:rsidTr="0084245D">
        <w:trPr>
          <w:trHeight w:val="432"/>
        </w:trPr>
        <w:tc>
          <w:tcPr>
            <w:tcW w:w="495" w:type="dxa"/>
            <w:shd w:val="clear" w:color="auto" w:fill="auto"/>
            <w:vAlign w:val="bottom"/>
          </w:tcPr>
          <w:p w:rsidR="007F6560" w:rsidRPr="0084245D" w:rsidRDefault="007F6560" w:rsidP="00D82DDA">
            <w:pPr>
              <w:rPr>
                <w:rFonts w:ascii="Arial" w:hAnsi="Arial" w:cs="Arial"/>
                <w:sz w:val="20"/>
                <w:szCs w:val="20"/>
              </w:rPr>
            </w:pPr>
            <w:r w:rsidRPr="0084245D">
              <w:rPr>
                <w:rFonts w:ascii="Arial" w:hAnsi="Arial" w:cs="Arial"/>
                <w:sz w:val="20"/>
                <w:szCs w:val="20"/>
              </w:rPr>
              <w:t>4.</w:t>
            </w:r>
          </w:p>
        </w:tc>
        <w:tc>
          <w:tcPr>
            <w:tcW w:w="8361" w:type="dxa"/>
            <w:gridSpan w:val="4"/>
            <w:shd w:val="clear" w:color="auto" w:fill="auto"/>
            <w:vAlign w:val="bottom"/>
          </w:tcPr>
          <w:p w:rsidR="007F6560" w:rsidRPr="0084245D" w:rsidRDefault="007F6560" w:rsidP="00D82DDA">
            <w:pPr>
              <w:rPr>
                <w:rFonts w:ascii="Arial" w:hAnsi="Arial" w:cs="Arial"/>
                <w:b/>
                <w:sz w:val="20"/>
                <w:szCs w:val="20"/>
              </w:rPr>
            </w:pPr>
            <w:r w:rsidRPr="0084245D">
              <w:rPr>
                <w:rFonts w:ascii="Arial" w:hAnsi="Arial" w:cs="Arial"/>
                <w:b/>
                <w:sz w:val="20"/>
                <w:szCs w:val="20"/>
              </w:rPr>
              <w:t>Principal owners, directors and officers:</w:t>
            </w:r>
          </w:p>
        </w:tc>
      </w:tr>
      <w:tr w:rsidR="007F6560" w:rsidRPr="0084245D" w:rsidTr="0084245D">
        <w:trPr>
          <w:trHeight w:val="432"/>
        </w:trPr>
        <w:tc>
          <w:tcPr>
            <w:tcW w:w="495" w:type="dxa"/>
            <w:shd w:val="clear" w:color="auto" w:fill="auto"/>
            <w:vAlign w:val="bottom"/>
          </w:tcPr>
          <w:p w:rsidR="007F6560" w:rsidRPr="0084245D" w:rsidRDefault="007F6560" w:rsidP="00D82DDA">
            <w:pPr>
              <w:rPr>
                <w:rFonts w:ascii="Arial" w:hAnsi="Arial" w:cs="Arial"/>
                <w:sz w:val="20"/>
                <w:szCs w:val="20"/>
              </w:rPr>
            </w:pPr>
          </w:p>
        </w:tc>
        <w:tc>
          <w:tcPr>
            <w:tcW w:w="2787" w:type="dxa"/>
            <w:shd w:val="clear" w:color="auto" w:fill="auto"/>
            <w:vAlign w:val="bottom"/>
          </w:tcPr>
          <w:p w:rsidR="007F6560" w:rsidRPr="0084245D" w:rsidRDefault="007F6560" w:rsidP="00D82DDA">
            <w:pPr>
              <w:rPr>
                <w:rFonts w:ascii="Arial" w:hAnsi="Arial" w:cs="Arial"/>
                <w:sz w:val="20"/>
                <w:szCs w:val="20"/>
              </w:rPr>
            </w:pPr>
            <w:r w:rsidRPr="0084245D">
              <w:rPr>
                <w:rFonts w:ascii="Arial" w:hAnsi="Arial" w:cs="Arial"/>
                <w:sz w:val="20"/>
                <w:szCs w:val="20"/>
              </w:rPr>
              <w:t>Name</w:t>
            </w:r>
          </w:p>
        </w:tc>
        <w:tc>
          <w:tcPr>
            <w:tcW w:w="2787" w:type="dxa"/>
            <w:gridSpan w:val="2"/>
            <w:shd w:val="clear" w:color="auto" w:fill="auto"/>
            <w:vAlign w:val="bottom"/>
          </w:tcPr>
          <w:p w:rsidR="007F6560" w:rsidRPr="0084245D" w:rsidRDefault="007F6560" w:rsidP="00D82DDA">
            <w:pPr>
              <w:rPr>
                <w:rFonts w:ascii="Arial" w:hAnsi="Arial" w:cs="Arial"/>
                <w:sz w:val="20"/>
                <w:szCs w:val="20"/>
              </w:rPr>
            </w:pPr>
            <w:r w:rsidRPr="0084245D">
              <w:rPr>
                <w:rFonts w:ascii="Arial" w:hAnsi="Arial" w:cs="Arial"/>
                <w:sz w:val="20"/>
                <w:szCs w:val="20"/>
              </w:rPr>
              <w:t>Title</w:t>
            </w:r>
          </w:p>
        </w:tc>
        <w:tc>
          <w:tcPr>
            <w:tcW w:w="2787" w:type="dxa"/>
            <w:shd w:val="clear" w:color="auto" w:fill="auto"/>
            <w:vAlign w:val="bottom"/>
          </w:tcPr>
          <w:p w:rsidR="007F6560" w:rsidRPr="0084245D" w:rsidRDefault="007F6560" w:rsidP="00D82DDA">
            <w:pPr>
              <w:rPr>
                <w:rFonts w:ascii="Arial" w:hAnsi="Arial" w:cs="Arial"/>
                <w:sz w:val="20"/>
                <w:szCs w:val="20"/>
              </w:rPr>
            </w:pPr>
            <w:r w:rsidRPr="0084245D">
              <w:rPr>
                <w:rFonts w:ascii="Arial" w:hAnsi="Arial" w:cs="Arial"/>
                <w:sz w:val="20"/>
                <w:szCs w:val="20"/>
              </w:rPr>
              <w:t>% interest</w:t>
            </w:r>
          </w:p>
        </w:tc>
      </w:tr>
      <w:tr w:rsidR="007F6560" w:rsidRPr="0084245D" w:rsidTr="0084245D">
        <w:trPr>
          <w:trHeight w:val="432"/>
        </w:trPr>
        <w:tc>
          <w:tcPr>
            <w:tcW w:w="495" w:type="dxa"/>
            <w:shd w:val="clear" w:color="auto" w:fill="auto"/>
            <w:vAlign w:val="bottom"/>
          </w:tcPr>
          <w:p w:rsidR="007F6560" w:rsidRPr="0084245D" w:rsidRDefault="007F6560" w:rsidP="00D82DDA">
            <w:pPr>
              <w:rPr>
                <w:rFonts w:ascii="Arial" w:hAnsi="Arial" w:cs="Arial"/>
                <w:sz w:val="20"/>
                <w:szCs w:val="20"/>
              </w:rPr>
            </w:pPr>
          </w:p>
        </w:tc>
        <w:tc>
          <w:tcPr>
            <w:tcW w:w="2787" w:type="dxa"/>
            <w:shd w:val="clear" w:color="auto" w:fill="auto"/>
            <w:vAlign w:val="center"/>
          </w:tcPr>
          <w:p w:rsidR="007F6560" w:rsidRPr="0084245D" w:rsidRDefault="00C62E56" w:rsidP="001C7667">
            <w:pPr>
              <w:rPr>
                <w:rFonts w:ascii="Bradley Hand ITC" w:hAnsi="Bradley Hand ITC" w:cs="Arial"/>
                <w:sz w:val="20"/>
                <w:szCs w:val="20"/>
              </w:rPr>
            </w:pPr>
            <w:r w:rsidRPr="00C62E56">
              <w:rPr>
                <w:rFonts w:ascii="Bradley Hand ITC" w:hAnsi="Bradley Hand ITC" w:cs="Arial"/>
                <w:sz w:val="20"/>
                <w:szCs w:val="20"/>
              </w:rPr>
              <w:t>Darrell Haines</w:t>
            </w:r>
          </w:p>
        </w:tc>
        <w:tc>
          <w:tcPr>
            <w:tcW w:w="2787" w:type="dxa"/>
            <w:gridSpan w:val="2"/>
            <w:shd w:val="clear" w:color="auto" w:fill="auto"/>
            <w:vAlign w:val="center"/>
          </w:tcPr>
          <w:p w:rsidR="007F6560" w:rsidRPr="0084245D" w:rsidRDefault="00C62E56" w:rsidP="001C7667">
            <w:pPr>
              <w:rPr>
                <w:rFonts w:ascii="Bradley Hand ITC" w:hAnsi="Bradley Hand ITC" w:cs="Arial"/>
                <w:sz w:val="20"/>
                <w:szCs w:val="20"/>
              </w:rPr>
            </w:pPr>
            <w:r>
              <w:rPr>
                <w:rFonts w:ascii="Bradley Hand ITC" w:hAnsi="Bradley Hand ITC" w:cs="Arial"/>
                <w:sz w:val="20"/>
                <w:szCs w:val="20"/>
              </w:rPr>
              <w:t>CEO</w:t>
            </w:r>
          </w:p>
        </w:tc>
        <w:tc>
          <w:tcPr>
            <w:tcW w:w="2787" w:type="dxa"/>
            <w:shd w:val="clear" w:color="auto" w:fill="auto"/>
            <w:vAlign w:val="center"/>
          </w:tcPr>
          <w:p w:rsidR="007F6560" w:rsidRPr="0084245D" w:rsidRDefault="00C62E56" w:rsidP="001C7667">
            <w:pPr>
              <w:rPr>
                <w:rFonts w:ascii="Bradley Hand ITC" w:hAnsi="Bradley Hand ITC" w:cs="Arial"/>
                <w:sz w:val="20"/>
                <w:szCs w:val="20"/>
              </w:rPr>
            </w:pPr>
            <w:r>
              <w:rPr>
                <w:rFonts w:ascii="Bradley Hand ITC" w:hAnsi="Bradley Hand ITC" w:cs="Arial"/>
                <w:sz w:val="20"/>
                <w:szCs w:val="20"/>
              </w:rPr>
              <w:t>100%</w:t>
            </w:r>
          </w:p>
        </w:tc>
      </w:tr>
      <w:tr w:rsidR="007F6560" w:rsidRPr="0084245D" w:rsidTr="0084245D">
        <w:trPr>
          <w:trHeight w:val="432"/>
        </w:trPr>
        <w:tc>
          <w:tcPr>
            <w:tcW w:w="495" w:type="dxa"/>
            <w:shd w:val="clear" w:color="auto" w:fill="auto"/>
            <w:vAlign w:val="bottom"/>
          </w:tcPr>
          <w:p w:rsidR="007F6560" w:rsidRPr="0084245D" w:rsidRDefault="007F6560" w:rsidP="00D82DDA">
            <w:pPr>
              <w:rPr>
                <w:rFonts w:ascii="Arial" w:hAnsi="Arial" w:cs="Arial"/>
                <w:sz w:val="20"/>
                <w:szCs w:val="20"/>
              </w:rPr>
            </w:pPr>
          </w:p>
        </w:tc>
        <w:tc>
          <w:tcPr>
            <w:tcW w:w="2787" w:type="dxa"/>
            <w:shd w:val="clear" w:color="auto" w:fill="auto"/>
            <w:vAlign w:val="center"/>
          </w:tcPr>
          <w:p w:rsidR="007F6560" w:rsidRPr="0084245D" w:rsidRDefault="00C62E56" w:rsidP="001C7667">
            <w:pPr>
              <w:rPr>
                <w:rFonts w:ascii="Bradley Hand ITC" w:hAnsi="Bradley Hand ITC" w:cs="Arial"/>
                <w:sz w:val="20"/>
                <w:szCs w:val="20"/>
              </w:rPr>
            </w:pPr>
            <w:r w:rsidRPr="00C62E56">
              <w:rPr>
                <w:rFonts w:ascii="Bradley Hand ITC" w:hAnsi="Bradley Hand ITC" w:cs="Arial"/>
                <w:sz w:val="20"/>
                <w:szCs w:val="20"/>
              </w:rPr>
              <w:t>Elaine To</w:t>
            </w:r>
          </w:p>
        </w:tc>
        <w:tc>
          <w:tcPr>
            <w:tcW w:w="2787" w:type="dxa"/>
            <w:gridSpan w:val="2"/>
            <w:shd w:val="clear" w:color="auto" w:fill="auto"/>
            <w:vAlign w:val="center"/>
          </w:tcPr>
          <w:p w:rsidR="007F6560" w:rsidRPr="0084245D" w:rsidRDefault="00C62E56" w:rsidP="001C7667">
            <w:pPr>
              <w:rPr>
                <w:rFonts w:ascii="Bradley Hand ITC" w:hAnsi="Bradley Hand ITC" w:cs="Arial"/>
                <w:sz w:val="20"/>
                <w:szCs w:val="20"/>
              </w:rPr>
            </w:pPr>
            <w:r>
              <w:rPr>
                <w:rFonts w:ascii="Bradley Hand ITC" w:hAnsi="Bradley Hand ITC" w:cs="Arial"/>
                <w:sz w:val="20"/>
                <w:szCs w:val="20"/>
              </w:rPr>
              <w:t>CFO</w:t>
            </w:r>
          </w:p>
        </w:tc>
        <w:tc>
          <w:tcPr>
            <w:tcW w:w="2787" w:type="dxa"/>
            <w:shd w:val="clear" w:color="auto" w:fill="auto"/>
            <w:vAlign w:val="center"/>
          </w:tcPr>
          <w:p w:rsidR="007F6560" w:rsidRPr="0084245D" w:rsidRDefault="007F6560" w:rsidP="001C7667">
            <w:pPr>
              <w:rPr>
                <w:rFonts w:ascii="Bradley Hand ITC" w:hAnsi="Bradley Hand ITC" w:cs="Arial"/>
                <w:sz w:val="20"/>
                <w:szCs w:val="20"/>
              </w:rPr>
            </w:pPr>
          </w:p>
        </w:tc>
      </w:tr>
      <w:tr w:rsidR="007F6560" w:rsidRPr="0084245D" w:rsidTr="0084245D">
        <w:trPr>
          <w:trHeight w:val="432"/>
        </w:trPr>
        <w:tc>
          <w:tcPr>
            <w:tcW w:w="495" w:type="dxa"/>
            <w:shd w:val="clear" w:color="auto" w:fill="auto"/>
            <w:vAlign w:val="bottom"/>
          </w:tcPr>
          <w:p w:rsidR="007F6560" w:rsidRPr="0084245D" w:rsidRDefault="007F6560" w:rsidP="00D82DDA">
            <w:pPr>
              <w:rPr>
                <w:rFonts w:ascii="Arial" w:hAnsi="Arial" w:cs="Arial"/>
                <w:sz w:val="20"/>
                <w:szCs w:val="20"/>
              </w:rPr>
            </w:pPr>
          </w:p>
        </w:tc>
        <w:tc>
          <w:tcPr>
            <w:tcW w:w="2787" w:type="dxa"/>
            <w:shd w:val="clear" w:color="auto" w:fill="auto"/>
            <w:vAlign w:val="center"/>
          </w:tcPr>
          <w:p w:rsidR="007F6560" w:rsidRPr="0084245D" w:rsidRDefault="007F6560" w:rsidP="001C7667">
            <w:pPr>
              <w:rPr>
                <w:rFonts w:ascii="Bradley Hand ITC" w:hAnsi="Bradley Hand ITC" w:cs="Arial"/>
                <w:sz w:val="20"/>
                <w:szCs w:val="20"/>
              </w:rPr>
            </w:pPr>
          </w:p>
        </w:tc>
        <w:tc>
          <w:tcPr>
            <w:tcW w:w="2787" w:type="dxa"/>
            <w:gridSpan w:val="2"/>
            <w:shd w:val="clear" w:color="auto" w:fill="auto"/>
            <w:vAlign w:val="center"/>
          </w:tcPr>
          <w:p w:rsidR="007F6560" w:rsidRPr="0084245D" w:rsidRDefault="007F6560" w:rsidP="001C7667">
            <w:pPr>
              <w:rPr>
                <w:rFonts w:ascii="Bradley Hand ITC" w:hAnsi="Bradley Hand ITC" w:cs="Arial"/>
                <w:sz w:val="20"/>
                <w:szCs w:val="20"/>
              </w:rPr>
            </w:pPr>
          </w:p>
        </w:tc>
        <w:tc>
          <w:tcPr>
            <w:tcW w:w="2787" w:type="dxa"/>
            <w:shd w:val="clear" w:color="auto" w:fill="auto"/>
            <w:vAlign w:val="center"/>
          </w:tcPr>
          <w:p w:rsidR="007F6560" w:rsidRPr="0084245D" w:rsidRDefault="007F6560" w:rsidP="001C7667">
            <w:pPr>
              <w:rPr>
                <w:rFonts w:ascii="Bradley Hand ITC" w:hAnsi="Bradley Hand ITC" w:cs="Arial"/>
                <w:sz w:val="20"/>
                <w:szCs w:val="20"/>
              </w:rPr>
            </w:pPr>
          </w:p>
        </w:tc>
      </w:tr>
      <w:tr w:rsidR="007F6560" w:rsidRPr="0084245D" w:rsidTr="0084245D">
        <w:trPr>
          <w:trHeight w:val="432"/>
        </w:trPr>
        <w:tc>
          <w:tcPr>
            <w:tcW w:w="495" w:type="dxa"/>
            <w:shd w:val="clear" w:color="auto" w:fill="auto"/>
            <w:vAlign w:val="bottom"/>
          </w:tcPr>
          <w:p w:rsidR="007F6560" w:rsidRPr="0084245D" w:rsidRDefault="007F6560" w:rsidP="00D82DDA">
            <w:pPr>
              <w:rPr>
                <w:rFonts w:ascii="Arial" w:hAnsi="Arial" w:cs="Arial"/>
                <w:sz w:val="20"/>
                <w:szCs w:val="20"/>
              </w:rPr>
            </w:pPr>
          </w:p>
        </w:tc>
        <w:tc>
          <w:tcPr>
            <w:tcW w:w="8361" w:type="dxa"/>
            <w:gridSpan w:val="4"/>
            <w:shd w:val="clear" w:color="auto" w:fill="auto"/>
            <w:vAlign w:val="bottom"/>
          </w:tcPr>
          <w:p w:rsidR="007F6560" w:rsidRPr="0084245D" w:rsidRDefault="007F6560" w:rsidP="00D82DDA">
            <w:pPr>
              <w:rPr>
                <w:rFonts w:ascii="Arial" w:hAnsi="Arial" w:cs="Arial"/>
                <w:sz w:val="20"/>
                <w:szCs w:val="20"/>
              </w:rPr>
            </w:pPr>
          </w:p>
        </w:tc>
      </w:tr>
    </w:tbl>
    <w:p w:rsidR="007F6560" w:rsidRDefault="007F6560" w:rsidP="002D79DA">
      <w:pPr>
        <w:rPr>
          <w:rFonts w:ascii="Arial" w:hAnsi="Arial" w:cs="Arial"/>
          <w:sz w:val="20"/>
          <w:szCs w:val="20"/>
        </w:rPr>
      </w:pPr>
    </w:p>
    <w:p w:rsidR="00295907" w:rsidRDefault="00295907" w:rsidP="002D79DA">
      <w:pPr>
        <w:rPr>
          <w:rFonts w:ascii="Arial" w:hAnsi="Arial" w:cs="Arial"/>
          <w:sz w:val="20"/>
          <w:szCs w:val="20"/>
        </w:rPr>
      </w:pPr>
    </w:p>
    <w:p w:rsidR="002D79DA" w:rsidRPr="002D79DA" w:rsidRDefault="00295907" w:rsidP="002D79DA">
      <w:pPr>
        <w:rPr>
          <w:rFonts w:ascii="Arial" w:hAnsi="Arial" w:cs="Arial"/>
          <w:sz w:val="20"/>
          <w:szCs w:val="20"/>
        </w:rPr>
      </w:pPr>
      <w:r>
        <w:rPr>
          <w:rFonts w:ascii="Arial" w:hAnsi="Arial" w:cs="Arial"/>
          <w:sz w:val="20"/>
          <w:szCs w:val="20"/>
        </w:rPr>
        <w:br w:type="page"/>
      </w:r>
      <w:r w:rsidR="002D79DA" w:rsidRPr="002D79DA">
        <w:rPr>
          <w:rFonts w:ascii="Arial" w:hAnsi="Arial" w:cs="Arial"/>
          <w:sz w:val="20"/>
          <w:szCs w:val="20"/>
        </w:rPr>
        <w:lastRenderedPageBreak/>
        <w:tab/>
      </w:r>
      <w:r w:rsidR="002D79DA" w:rsidRPr="002D79DA">
        <w:rPr>
          <w:rFonts w:ascii="Arial" w:hAnsi="Arial" w:cs="Arial"/>
          <w:sz w:val="20"/>
          <w:szCs w:val="20"/>
        </w:rPr>
        <w:tab/>
      </w:r>
      <w:r w:rsidR="002D79DA" w:rsidRPr="002D79DA">
        <w:rPr>
          <w:rFonts w:ascii="Arial" w:hAnsi="Arial" w:cs="Arial"/>
          <w:sz w:val="20"/>
          <w:szCs w:val="20"/>
        </w:rPr>
        <w:tab/>
      </w:r>
      <w:r w:rsidR="002D79DA" w:rsidRPr="002D79DA">
        <w:rPr>
          <w:rFonts w:ascii="Arial" w:hAnsi="Arial" w:cs="Arial"/>
          <w:sz w:val="20"/>
          <w:szCs w:val="20"/>
        </w:rPr>
        <w:tab/>
      </w:r>
      <w:r w:rsidR="002D79DA" w:rsidRPr="002D79DA">
        <w:rPr>
          <w:rFonts w:ascii="Arial" w:hAnsi="Arial" w:cs="Arial"/>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
        <w:gridCol w:w="6453"/>
        <w:gridCol w:w="1908"/>
      </w:tblGrid>
      <w:tr w:rsidR="00583D25" w:rsidRPr="0084245D" w:rsidTr="0084245D">
        <w:trPr>
          <w:trHeight w:val="432"/>
        </w:trPr>
        <w:tc>
          <w:tcPr>
            <w:tcW w:w="8856" w:type="dxa"/>
            <w:gridSpan w:val="3"/>
            <w:shd w:val="clear" w:color="auto" w:fill="auto"/>
            <w:vAlign w:val="bottom"/>
          </w:tcPr>
          <w:p w:rsidR="00583D25" w:rsidRPr="0084245D" w:rsidRDefault="00583D25" w:rsidP="00D82DDA">
            <w:pPr>
              <w:rPr>
                <w:rFonts w:ascii="Arial" w:hAnsi="Arial" w:cs="Arial"/>
                <w:sz w:val="20"/>
                <w:szCs w:val="20"/>
              </w:rPr>
            </w:pPr>
            <w:r w:rsidRPr="0084245D">
              <w:rPr>
                <w:rFonts w:ascii="Arial" w:hAnsi="Arial" w:cs="Arial"/>
                <w:sz w:val="20"/>
                <w:szCs w:val="20"/>
              </w:rPr>
              <w:t>I. KNOWLEDGE OF THE ENTITY</w:t>
            </w:r>
          </w:p>
        </w:tc>
      </w:tr>
      <w:tr w:rsidR="0000437E" w:rsidRPr="0084245D" w:rsidTr="0084245D">
        <w:trPr>
          <w:trHeight w:val="432"/>
        </w:trPr>
        <w:tc>
          <w:tcPr>
            <w:tcW w:w="495" w:type="dxa"/>
            <w:shd w:val="clear" w:color="auto" w:fill="auto"/>
            <w:vAlign w:val="bottom"/>
          </w:tcPr>
          <w:p w:rsidR="0000437E" w:rsidRPr="0084245D" w:rsidRDefault="0000437E" w:rsidP="00D82DDA">
            <w:pPr>
              <w:rPr>
                <w:rFonts w:ascii="Arial" w:hAnsi="Arial" w:cs="Arial"/>
                <w:sz w:val="20"/>
                <w:szCs w:val="20"/>
              </w:rPr>
            </w:pPr>
            <w:r w:rsidRPr="0084245D">
              <w:rPr>
                <w:rFonts w:ascii="Arial" w:hAnsi="Arial" w:cs="Arial"/>
                <w:sz w:val="20"/>
                <w:szCs w:val="20"/>
              </w:rPr>
              <w:t>B.</w:t>
            </w:r>
          </w:p>
        </w:tc>
        <w:tc>
          <w:tcPr>
            <w:tcW w:w="8361" w:type="dxa"/>
            <w:gridSpan w:val="2"/>
            <w:shd w:val="clear" w:color="auto" w:fill="auto"/>
            <w:vAlign w:val="bottom"/>
          </w:tcPr>
          <w:p w:rsidR="0000437E" w:rsidRPr="0084245D" w:rsidRDefault="0000437E" w:rsidP="00D82DDA">
            <w:pPr>
              <w:rPr>
                <w:rFonts w:ascii="Arial" w:hAnsi="Arial" w:cs="Arial"/>
                <w:sz w:val="20"/>
                <w:szCs w:val="20"/>
              </w:rPr>
            </w:pPr>
            <w:r w:rsidRPr="0084245D">
              <w:rPr>
                <w:rFonts w:ascii="Arial" w:hAnsi="Arial" w:cs="Arial"/>
                <w:sz w:val="20"/>
                <w:szCs w:val="20"/>
              </w:rPr>
              <w:t>OPERATIONS</w:t>
            </w:r>
          </w:p>
        </w:tc>
      </w:tr>
      <w:tr w:rsidR="00583D25" w:rsidRPr="0084245D" w:rsidTr="0084245D">
        <w:trPr>
          <w:trHeight w:val="432"/>
        </w:trPr>
        <w:tc>
          <w:tcPr>
            <w:tcW w:w="495" w:type="dxa"/>
            <w:shd w:val="clear" w:color="auto" w:fill="auto"/>
          </w:tcPr>
          <w:p w:rsidR="00583D25" w:rsidRPr="0084245D" w:rsidRDefault="0000437E" w:rsidP="00D82DDA">
            <w:pPr>
              <w:rPr>
                <w:rFonts w:ascii="Arial" w:hAnsi="Arial" w:cs="Arial"/>
                <w:sz w:val="20"/>
                <w:szCs w:val="20"/>
              </w:rPr>
            </w:pPr>
            <w:r w:rsidRPr="0084245D">
              <w:rPr>
                <w:rFonts w:ascii="Arial" w:hAnsi="Arial" w:cs="Arial"/>
                <w:sz w:val="20"/>
                <w:szCs w:val="20"/>
              </w:rPr>
              <w:t>1</w:t>
            </w:r>
            <w:r w:rsidR="00583D25" w:rsidRPr="0084245D">
              <w:rPr>
                <w:rFonts w:ascii="Arial" w:hAnsi="Arial" w:cs="Arial"/>
                <w:sz w:val="20"/>
                <w:szCs w:val="20"/>
              </w:rPr>
              <w:t>.</w:t>
            </w:r>
          </w:p>
        </w:tc>
        <w:tc>
          <w:tcPr>
            <w:tcW w:w="8361" w:type="dxa"/>
            <w:gridSpan w:val="2"/>
            <w:shd w:val="clear" w:color="auto" w:fill="auto"/>
            <w:vAlign w:val="bottom"/>
          </w:tcPr>
          <w:p w:rsidR="00583D25" w:rsidRPr="0084245D" w:rsidRDefault="0000437E" w:rsidP="0000437E">
            <w:pPr>
              <w:rPr>
                <w:rFonts w:ascii="Arial" w:hAnsi="Arial" w:cs="Arial"/>
                <w:sz w:val="20"/>
                <w:szCs w:val="20"/>
              </w:rPr>
            </w:pPr>
            <w:r w:rsidRPr="0084245D">
              <w:rPr>
                <w:rFonts w:ascii="Arial" w:hAnsi="Arial" w:cs="Arial"/>
                <w:b/>
                <w:sz w:val="20"/>
                <w:szCs w:val="20"/>
              </w:rPr>
              <w:t xml:space="preserve">Nature of activities </w:t>
            </w:r>
            <w:r w:rsidR="00583D25" w:rsidRPr="0084245D">
              <w:rPr>
                <w:rFonts w:ascii="Arial" w:hAnsi="Arial" w:cs="Arial"/>
                <w:sz w:val="20"/>
                <w:szCs w:val="20"/>
              </w:rPr>
              <w:t>(</w:t>
            </w:r>
            <w:r w:rsidRPr="0084245D">
              <w:rPr>
                <w:rFonts w:ascii="Arial" w:hAnsi="Arial" w:cs="Arial"/>
                <w:sz w:val="20"/>
                <w:szCs w:val="20"/>
              </w:rPr>
              <w:t>manufacturing, distributing, service, et</w:t>
            </w:r>
            <w:r w:rsidR="00B3064C" w:rsidRPr="0084245D">
              <w:rPr>
                <w:rFonts w:ascii="Arial" w:hAnsi="Arial" w:cs="Arial"/>
                <w:sz w:val="20"/>
                <w:szCs w:val="20"/>
              </w:rPr>
              <w:t xml:space="preserve">c.; industrial, commercial, </w:t>
            </w:r>
            <w:r w:rsidRPr="0084245D">
              <w:rPr>
                <w:rFonts w:ascii="Arial" w:hAnsi="Arial" w:cs="Arial"/>
                <w:sz w:val="20"/>
                <w:szCs w:val="20"/>
              </w:rPr>
              <w:t>residential, individual, etc.</w:t>
            </w:r>
            <w:r w:rsidR="00583D25" w:rsidRPr="0084245D">
              <w:rPr>
                <w:rFonts w:ascii="Arial" w:hAnsi="Arial" w:cs="Arial"/>
                <w:sz w:val="20"/>
                <w:szCs w:val="20"/>
              </w:rPr>
              <w:t xml:space="preserve">): </w:t>
            </w:r>
          </w:p>
        </w:tc>
      </w:tr>
      <w:tr w:rsidR="00611CF6" w:rsidRPr="0084245D" w:rsidTr="0084245D">
        <w:trPr>
          <w:trHeight w:val="432"/>
        </w:trPr>
        <w:tc>
          <w:tcPr>
            <w:tcW w:w="495" w:type="dxa"/>
            <w:shd w:val="clear" w:color="auto" w:fill="auto"/>
            <w:vAlign w:val="bottom"/>
          </w:tcPr>
          <w:p w:rsidR="00611CF6" w:rsidRPr="0041316A" w:rsidRDefault="00611CF6" w:rsidP="00D82DDA">
            <w:pPr>
              <w:rPr>
                <w:rFonts w:ascii="Bradley Hand ITC" w:hAnsi="Bradley Hand ITC" w:cs="Arial"/>
                <w:sz w:val="20"/>
                <w:szCs w:val="20"/>
              </w:rPr>
            </w:pPr>
          </w:p>
        </w:tc>
        <w:tc>
          <w:tcPr>
            <w:tcW w:w="6453" w:type="dxa"/>
            <w:shd w:val="clear" w:color="auto" w:fill="auto"/>
            <w:vAlign w:val="bottom"/>
          </w:tcPr>
          <w:p w:rsidR="00611CF6" w:rsidRPr="0041316A" w:rsidRDefault="00611CF6" w:rsidP="00D82DDA">
            <w:pPr>
              <w:rPr>
                <w:rFonts w:ascii="Bradley Hand ITC" w:hAnsi="Bradley Hand ITC" w:cs="Arial"/>
                <w:sz w:val="20"/>
                <w:szCs w:val="20"/>
              </w:rPr>
            </w:pPr>
          </w:p>
        </w:tc>
        <w:tc>
          <w:tcPr>
            <w:tcW w:w="1908" w:type="dxa"/>
            <w:shd w:val="clear" w:color="auto" w:fill="auto"/>
            <w:vAlign w:val="bottom"/>
          </w:tcPr>
          <w:p w:rsidR="00611CF6" w:rsidRPr="0084245D" w:rsidRDefault="00611CF6" w:rsidP="0084245D">
            <w:pPr>
              <w:jc w:val="center"/>
              <w:rPr>
                <w:rFonts w:ascii="Arial" w:hAnsi="Arial" w:cs="Arial"/>
                <w:sz w:val="20"/>
                <w:szCs w:val="20"/>
              </w:rPr>
            </w:pPr>
            <w:r w:rsidRPr="0084245D">
              <w:rPr>
                <w:rFonts w:ascii="Arial" w:hAnsi="Arial" w:cs="Arial"/>
                <w:sz w:val="20"/>
                <w:szCs w:val="20"/>
              </w:rPr>
              <w:t>% of activities</w:t>
            </w:r>
          </w:p>
        </w:tc>
      </w:tr>
      <w:tr w:rsidR="00611CF6" w:rsidRPr="0084245D" w:rsidTr="0084245D">
        <w:trPr>
          <w:trHeight w:val="432"/>
        </w:trPr>
        <w:tc>
          <w:tcPr>
            <w:tcW w:w="495" w:type="dxa"/>
            <w:shd w:val="clear" w:color="auto" w:fill="auto"/>
            <w:vAlign w:val="bottom"/>
          </w:tcPr>
          <w:p w:rsidR="00611CF6" w:rsidRPr="0084245D" w:rsidRDefault="00611CF6" w:rsidP="00D82DDA">
            <w:pPr>
              <w:rPr>
                <w:rFonts w:ascii="Arial" w:hAnsi="Arial" w:cs="Arial"/>
                <w:sz w:val="20"/>
                <w:szCs w:val="20"/>
              </w:rPr>
            </w:pPr>
          </w:p>
        </w:tc>
        <w:tc>
          <w:tcPr>
            <w:tcW w:w="6453" w:type="dxa"/>
            <w:shd w:val="clear" w:color="auto" w:fill="auto"/>
            <w:vAlign w:val="center"/>
          </w:tcPr>
          <w:p w:rsidR="00611CF6" w:rsidRPr="0084245D" w:rsidRDefault="00FF5B52" w:rsidP="00B506E9">
            <w:pPr>
              <w:rPr>
                <w:rFonts w:ascii="Bradley Hand ITC" w:hAnsi="Bradley Hand ITC" w:cs="Arial"/>
                <w:sz w:val="20"/>
                <w:szCs w:val="20"/>
              </w:rPr>
            </w:pPr>
            <w:r w:rsidRPr="0041316A">
              <w:rPr>
                <w:rFonts w:ascii="Bradley Hand ITC" w:hAnsi="Bradley Hand ITC" w:cs="Arial"/>
                <w:sz w:val="20"/>
                <w:szCs w:val="20"/>
              </w:rPr>
              <w:t xml:space="preserve">The company is involved in buying oil fields and oil operations </w:t>
            </w:r>
            <w:r>
              <w:rPr>
                <w:rFonts w:ascii="Bradley Hand ITC" w:hAnsi="Bradley Hand ITC" w:cs="Arial"/>
                <w:sz w:val="20"/>
                <w:szCs w:val="20"/>
              </w:rPr>
              <w:t>focusing particularly on orphan wells. Orphan wells in this context refer to wells which are unable to produce an output which can justify high corporate overheads.</w:t>
            </w:r>
          </w:p>
        </w:tc>
        <w:tc>
          <w:tcPr>
            <w:tcW w:w="1908" w:type="dxa"/>
            <w:shd w:val="clear" w:color="auto" w:fill="auto"/>
            <w:vAlign w:val="center"/>
          </w:tcPr>
          <w:p w:rsidR="00611CF6" w:rsidRPr="0084245D" w:rsidRDefault="00336B7E" w:rsidP="00B506E9">
            <w:pPr>
              <w:rPr>
                <w:rFonts w:ascii="Bradley Hand ITC" w:hAnsi="Bradley Hand ITC" w:cs="Arial"/>
                <w:sz w:val="20"/>
                <w:szCs w:val="20"/>
              </w:rPr>
            </w:pPr>
            <w:r>
              <w:rPr>
                <w:rFonts w:ascii="Bradley Hand ITC" w:hAnsi="Bradley Hand ITC" w:cs="Arial"/>
                <w:sz w:val="20"/>
                <w:szCs w:val="20"/>
              </w:rPr>
              <w:t>100%</w:t>
            </w:r>
          </w:p>
        </w:tc>
      </w:tr>
      <w:tr w:rsidR="00611CF6" w:rsidRPr="0084245D" w:rsidTr="0084245D">
        <w:trPr>
          <w:trHeight w:val="432"/>
        </w:trPr>
        <w:tc>
          <w:tcPr>
            <w:tcW w:w="495" w:type="dxa"/>
            <w:shd w:val="clear" w:color="auto" w:fill="auto"/>
            <w:vAlign w:val="bottom"/>
          </w:tcPr>
          <w:p w:rsidR="00611CF6" w:rsidRPr="0084245D" w:rsidRDefault="00611CF6" w:rsidP="00D82DDA">
            <w:pPr>
              <w:rPr>
                <w:rFonts w:ascii="Arial" w:hAnsi="Arial" w:cs="Arial"/>
                <w:sz w:val="20"/>
                <w:szCs w:val="20"/>
              </w:rPr>
            </w:pPr>
            <w:r w:rsidRPr="0084245D">
              <w:rPr>
                <w:rFonts w:ascii="Arial" w:hAnsi="Arial" w:cs="Arial"/>
                <w:sz w:val="20"/>
                <w:szCs w:val="20"/>
              </w:rPr>
              <w:t>2.</w:t>
            </w:r>
          </w:p>
        </w:tc>
        <w:tc>
          <w:tcPr>
            <w:tcW w:w="8361" w:type="dxa"/>
            <w:gridSpan w:val="2"/>
            <w:shd w:val="clear" w:color="auto" w:fill="auto"/>
            <w:vAlign w:val="bottom"/>
          </w:tcPr>
          <w:p w:rsidR="00611CF6" w:rsidRPr="0084245D" w:rsidRDefault="00611CF6" w:rsidP="00D82DDA">
            <w:pPr>
              <w:rPr>
                <w:rFonts w:ascii="Arial" w:hAnsi="Arial" w:cs="Arial"/>
                <w:sz w:val="20"/>
                <w:szCs w:val="20"/>
              </w:rPr>
            </w:pPr>
            <w:r w:rsidRPr="0084245D">
              <w:rPr>
                <w:rFonts w:ascii="Arial" w:hAnsi="Arial" w:cs="Arial"/>
                <w:b/>
                <w:sz w:val="20"/>
                <w:szCs w:val="20"/>
              </w:rPr>
              <w:t>Territory covered</w:t>
            </w:r>
          </w:p>
        </w:tc>
      </w:tr>
      <w:tr w:rsidR="00611CF6" w:rsidRPr="0084245D" w:rsidTr="0084245D">
        <w:trPr>
          <w:trHeight w:val="432"/>
        </w:trPr>
        <w:tc>
          <w:tcPr>
            <w:tcW w:w="495" w:type="dxa"/>
            <w:shd w:val="clear" w:color="auto" w:fill="auto"/>
            <w:vAlign w:val="bottom"/>
          </w:tcPr>
          <w:p w:rsidR="00611CF6" w:rsidRPr="0084245D" w:rsidRDefault="00611CF6" w:rsidP="00D82DDA">
            <w:pPr>
              <w:rPr>
                <w:rFonts w:ascii="Arial" w:hAnsi="Arial" w:cs="Arial"/>
                <w:sz w:val="20"/>
                <w:szCs w:val="20"/>
              </w:rPr>
            </w:pPr>
          </w:p>
        </w:tc>
        <w:tc>
          <w:tcPr>
            <w:tcW w:w="6453" w:type="dxa"/>
            <w:shd w:val="clear" w:color="auto" w:fill="auto"/>
            <w:vAlign w:val="bottom"/>
          </w:tcPr>
          <w:p w:rsidR="00611CF6" w:rsidRPr="0084245D" w:rsidRDefault="00611CF6" w:rsidP="00D82DDA">
            <w:pPr>
              <w:rPr>
                <w:rFonts w:ascii="Arial" w:hAnsi="Arial" w:cs="Arial"/>
                <w:sz w:val="20"/>
                <w:szCs w:val="20"/>
              </w:rPr>
            </w:pPr>
            <w:r w:rsidRPr="0084245D">
              <w:rPr>
                <w:rFonts w:ascii="Arial" w:hAnsi="Arial" w:cs="Arial"/>
                <w:sz w:val="20"/>
                <w:szCs w:val="20"/>
              </w:rPr>
              <w:t>Location</w:t>
            </w:r>
          </w:p>
        </w:tc>
        <w:tc>
          <w:tcPr>
            <w:tcW w:w="1908" w:type="dxa"/>
            <w:shd w:val="clear" w:color="auto" w:fill="auto"/>
            <w:vAlign w:val="bottom"/>
          </w:tcPr>
          <w:p w:rsidR="00611CF6" w:rsidRPr="0084245D" w:rsidRDefault="00611CF6" w:rsidP="0084245D">
            <w:pPr>
              <w:jc w:val="center"/>
              <w:rPr>
                <w:rFonts w:ascii="Arial" w:hAnsi="Arial" w:cs="Arial"/>
                <w:sz w:val="20"/>
                <w:szCs w:val="20"/>
              </w:rPr>
            </w:pPr>
            <w:r w:rsidRPr="0084245D">
              <w:rPr>
                <w:rFonts w:ascii="Arial" w:hAnsi="Arial" w:cs="Arial"/>
                <w:sz w:val="20"/>
                <w:szCs w:val="20"/>
              </w:rPr>
              <w:t>% of activities</w:t>
            </w:r>
          </w:p>
        </w:tc>
      </w:tr>
      <w:tr w:rsidR="00611CF6" w:rsidRPr="0084245D" w:rsidTr="0084245D">
        <w:trPr>
          <w:trHeight w:val="432"/>
        </w:trPr>
        <w:tc>
          <w:tcPr>
            <w:tcW w:w="495" w:type="dxa"/>
            <w:shd w:val="clear" w:color="auto" w:fill="auto"/>
            <w:vAlign w:val="bottom"/>
          </w:tcPr>
          <w:p w:rsidR="00611CF6" w:rsidRPr="0084245D" w:rsidRDefault="00611CF6" w:rsidP="00D82DDA">
            <w:pPr>
              <w:rPr>
                <w:rFonts w:ascii="Arial" w:hAnsi="Arial" w:cs="Arial"/>
                <w:sz w:val="20"/>
                <w:szCs w:val="20"/>
              </w:rPr>
            </w:pPr>
          </w:p>
        </w:tc>
        <w:tc>
          <w:tcPr>
            <w:tcW w:w="6453" w:type="dxa"/>
            <w:shd w:val="clear" w:color="auto" w:fill="auto"/>
            <w:vAlign w:val="bottom"/>
          </w:tcPr>
          <w:p w:rsidR="00611CF6" w:rsidRPr="0084245D" w:rsidRDefault="00900415" w:rsidP="00D82DDA">
            <w:pPr>
              <w:rPr>
                <w:rFonts w:ascii="Bradley Hand ITC" w:hAnsi="Bradley Hand ITC" w:cs="Arial"/>
                <w:sz w:val="22"/>
                <w:szCs w:val="22"/>
              </w:rPr>
            </w:pPr>
            <w:r>
              <w:rPr>
                <w:rFonts w:ascii="Bradley Hand ITC" w:hAnsi="Bradley Hand ITC" w:cs="Arial"/>
                <w:sz w:val="22"/>
                <w:szCs w:val="22"/>
              </w:rPr>
              <w:t>Alberta</w:t>
            </w:r>
          </w:p>
        </w:tc>
        <w:tc>
          <w:tcPr>
            <w:tcW w:w="1908" w:type="dxa"/>
            <w:shd w:val="clear" w:color="auto" w:fill="auto"/>
            <w:vAlign w:val="bottom"/>
          </w:tcPr>
          <w:p w:rsidR="00611CF6" w:rsidRPr="0084245D" w:rsidRDefault="00900415" w:rsidP="00900415">
            <w:pPr>
              <w:rPr>
                <w:rFonts w:ascii="Bradley Hand ITC" w:hAnsi="Bradley Hand ITC" w:cs="Arial"/>
                <w:sz w:val="22"/>
                <w:szCs w:val="22"/>
              </w:rPr>
            </w:pPr>
            <w:r>
              <w:rPr>
                <w:rFonts w:ascii="Bradley Hand ITC" w:hAnsi="Bradley Hand ITC" w:cs="Arial"/>
                <w:sz w:val="22"/>
                <w:szCs w:val="22"/>
              </w:rPr>
              <w:t>100%</w:t>
            </w:r>
          </w:p>
        </w:tc>
      </w:tr>
      <w:tr w:rsidR="00B3064C" w:rsidRPr="0084245D" w:rsidTr="0084245D">
        <w:trPr>
          <w:trHeight w:val="432"/>
        </w:trPr>
        <w:tc>
          <w:tcPr>
            <w:tcW w:w="495" w:type="dxa"/>
            <w:shd w:val="clear" w:color="auto" w:fill="auto"/>
            <w:vAlign w:val="bottom"/>
          </w:tcPr>
          <w:p w:rsidR="00B3064C" w:rsidRPr="0084245D" w:rsidRDefault="00B3064C" w:rsidP="00D82DDA">
            <w:pPr>
              <w:rPr>
                <w:rFonts w:ascii="Arial" w:hAnsi="Arial" w:cs="Arial"/>
                <w:sz w:val="20"/>
                <w:szCs w:val="20"/>
              </w:rPr>
            </w:pPr>
          </w:p>
        </w:tc>
        <w:tc>
          <w:tcPr>
            <w:tcW w:w="6453" w:type="dxa"/>
            <w:shd w:val="clear" w:color="auto" w:fill="auto"/>
            <w:vAlign w:val="bottom"/>
          </w:tcPr>
          <w:p w:rsidR="00B3064C" w:rsidRPr="0084245D" w:rsidRDefault="00B3064C" w:rsidP="00D82DDA">
            <w:pPr>
              <w:rPr>
                <w:rFonts w:ascii="Bradley Hand ITC" w:hAnsi="Bradley Hand ITC" w:cs="Arial"/>
                <w:sz w:val="22"/>
                <w:szCs w:val="22"/>
              </w:rPr>
            </w:pPr>
          </w:p>
        </w:tc>
        <w:tc>
          <w:tcPr>
            <w:tcW w:w="1908" w:type="dxa"/>
            <w:shd w:val="clear" w:color="auto" w:fill="auto"/>
            <w:vAlign w:val="bottom"/>
          </w:tcPr>
          <w:p w:rsidR="00B3064C" w:rsidRPr="0084245D" w:rsidRDefault="00B3064C" w:rsidP="0084245D">
            <w:pPr>
              <w:jc w:val="center"/>
              <w:rPr>
                <w:rFonts w:ascii="Bradley Hand ITC" w:hAnsi="Bradley Hand ITC" w:cs="Arial"/>
                <w:sz w:val="22"/>
                <w:szCs w:val="22"/>
              </w:rPr>
            </w:pPr>
          </w:p>
        </w:tc>
      </w:tr>
      <w:tr w:rsidR="00B3064C" w:rsidRPr="0084245D" w:rsidTr="0084245D">
        <w:trPr>
          <w:trHeight w:val="432"/>
        </w:trPr>
        <w:tc>
          <w:tcPr>
            <w:tcW w:w="495" w:type="dxa"/>
            <w:shd w:val="clear" w:color="auto" w:fill="auto"/>
            <w:vAlign w:val="bottom"/>
          </w:tcPr>
          <w:p w:rsidR="00B3064C" w:rsidRPr="0084245D" w:rsidRDefault="00B3064C" w:rsidP="00D82DDA">
            <w:pPr>
              <w:rPr>
                <w:rFonts w:ascii="Arial" w:hAnsi="Arial" w:cs="Arial"/>
                <w:sz w:val="20"/>
                <w:szCs w:val="20"/>
              </w:rPr>
            </w:pPr>
            <w:r w:rsidRPr="0084245D">
              <w:rPr>
                <w:rFonts w:ascii="Arial" w:hAnsi="Arial" w:cs="Arial"/>
                <w:sz w:val="20"/>
                <w:szCs w:val="20"/>
              </w:rPr>
              <w:t>3.</w:t>
            </w:r>
          </w:p>
        </w:tc>
        <w:tc>
          <w:tcPr>
            <w:tcW w:w="8361" w:type="dxa"/>
            <w:gridSpan w:val="2"/>
            <w:shd w:val="clear" w:color="auto" w:fill="auto"/>
            <w:vAlign w:val="bottom"/>
          </w:tcPr>
          <w:p w:rsidR="00B3064C" w:rsidRPr="0084245D" w:rsidRDefault="00B3064C" w:rsidP="00D82DDA">
            <w:pPr>
              <w:rPr>
                <w:rFonts w:ascii="Arial" w:hAnsi="Arial" w:cs="Arial"/>
                <w:sz w:val="20"/>
                <w:szCs w:val="20"/>
              </w:rPr>
            </w:pPr>
            <w:r w:rsidRPr="0084245D">
              <w:rPr>
                <w:rFonts w:ascii="Arial" w:hAnsi="Arial" w:cs="Arial"/>
                <w:b/>
                <w:sz w:val="20"/>
                <w:szCs w:val="20"/>
              </w:rPr>
              <w:t>Production or sales cycles</w:t>
            </w:r>
          </w:p>
        </w:tc>
      </w:tr>
      <w:tr w:rsidR="00B3064C" w:rsidRPr="0084245D" w:rsidTr="0084245D">
        <w:trPr>
          <w:trHeight w:val="432"/>
        </w:trPr>
        <w:tc>
          <w:tcPr>
            <w:tcW w:w="495" w:type="dxa"/>
            <w:shd w:val="clear" w:color="auto" w:fill="auto"/>
            <w:vAlign w:val="bottom"/>
          </w:tcPr>
          <w:p w:rsidR="00B3064C" w:rsidRPr="0084245D" w:rsidRDefault="00B3064C" w:rsidP="00D82DDA">
            <w:pPr>
              <w:rPr>
                <w:rFonts w:ascii="Arial" w:hAnsi="Arial" w:cs="Arial"/>
                <w:sz w:val="20"/>
                <w:szCs w:val="20"/>
              </w:rPr>
            </w:pPr>
          </w:p>
        </w:tc>
        <w:tc>
          <w:tcPr>
            <w:tcW w:w="8361" w:type="dxa"/>
            <w:gridSpan w:val="2"/>
            <w:shd w:val="clear" w:color="auto" w:fill="auto"/>
            <w:vAlign w:val="bottom"/>
          </w:tcPr>
          <w:p w:rsidR="00B3064C" w:rsidRPr="0084245D" w:rsidRDefault="00B3064C" w:rsidP="00D82DDA">
            <w:pPr>
              <w:rPr>
                <w:rFonts w:ascii="Arial" w:hAnsi="Arial" w:cs="Arial"/>
                <w:sz w:val="20"/>
                <w:szCs w:val="20"/>
              </w:rPr>
            </w:pPr>
          </w:p>
          <w:p w:rsidR="005605B7" w:rsidRPr="003B296D" w:rsidRDefault="00C60598" w:rsidP="00D82DDA">
            <w:pPr>
              <w:rPr>
                <w:rFonts w:ascii="Bradley Hand ITC" w:hAnsi="Bradley Hand ITC" w:cs="Arial"/>
                <w:sz w:val="20"/>
                <w:szCs w:val="20"/>
              </w:rPr>
            </w:pPr>
            <w:r w:rsidRPr="003B296D">
              <w:rPr>
                <w:rFonts w:ascii="Bradley Hand ITC" w:hAnsi="Bradley Hand ITC" w:cs="Arial"/>
                <w:sz w:val="20"/>
                <w:szCs w:val="20"/>
              </w:rPr>
              <w:t xml:space="preserve">The company’s production cycle begins with acquisition of an oil well or producer which is immediately followed by up gradation to control gas leakage. Given that company focuses on existing orphan wells in most cases hole are drilled and connected to systems hence company production cycle is primarily focused on </w:t>
            </w:r>
            <w:r w:rsidR="00116ECF" w:rsidRPr="003B296D">
              <w:rPr>
                <w:rFonts w:ascii="Bradley Hand ITC" w:hAnsi="Bradley Hand ITC" w:cs="Arial"/>
                <w:sz w:val="20"/>
                <w:szCs w:val="20"/>
              </w:rPr>
              <w:t>maintenance and</w:t>
            </w:r>
            <w:r w:rsidR="00002630">
              <w:rPr>
                <w:rFonts w:ascii="Bradley Hand ITC" w:hAnsi="Bradley Hand ITC" w:cs="Arial"/>
                <w:sz w:val="20"/>
                <w:szCs w:val="20"/>
              </w:rPr>
              <w:t xml:space="preserve"> con</w:t>
            </w:r>
            <w:r w:rsidR="00116ECF">
              <w:rPr>
                <w:rFonts w:ascii="Bradley Hand ITC" w:hAnsi="Bradley Hand ITC" w:cs="Arial"/>
                <w:sz w:val="20"/>
                <w:szCs w:val="20"/>
              </w:rPr>
              <w:t xml:space="preserve">nection of wells to compressors. </w:t>
            </w:r>
          </w:p>
          <w:p w:rsidR="005605B7" w:rsidRPr="0084245D" w:rsidRDefault="005605B7" w:rsidP="00D82DDA">
            <w:pPr>
              <w:rPr>
                <w:rFonts w:ascii="Arial" w:hAnsi="Arial" w:cs="Arial"/>
                <w:sz w:val="20"/>
                <w:szCs w:val="20"/>
              </w:rPr>
            </w:pPr>
          </w:p>
          <w:p w:rsidR="005605B7" w:rsidRPr="0084245D" w:rsidRDefault="005605B7" w:rsidP="00D82DDA">
            <w:pPr>
              <w:rPr>
                <w:rFonts w:ascii="Arial" w:hAnsi="Arial" w:cs="Arial"/>
                <w:sz w:val="20"/>
                <w:szCs w:val="20"/>
              </w:rPr>
            </w:pPr>
          </w:p>
          <w:p w:rsidR="005605B7" w:rsidRPr="0084245D" w:rsidRDefault="005605B7" w:rsidP="00D82DDA">
            <w:pPr>
              <w:rPr>
                <w:rFonts w:ascii="Arial" w:hAnsi="Arial" w:cs="Arial"/>
                <w:sz w:val="20"/>
                <w:szCs w:val="20"/>
              </w:rPr>
            </w:pPr>
          </w:p>
          <w:p w:rsidR="005605B7" w:rsidRPr="0084245D" w:rsidRDefault="005605B7" w:rsidP="00D82DDA">
            <w:pPr>
              <w:rPr>
                <w:rFonts w:ascii="Arial" w:hAnsi="Arial" w:cs="Arial"/>
                <w:sz w:val="20"/>
                <w:szCs w:val="20"/>
              </w:rPr>
            </w:pPr>
          </w:p>
        </w:tc>
      </w:tr>
      <w:tr w:rsidR="00265573" w:rsidRPr="0084245D" w:rsidTr="0084245D">
        <w:trPr>
          <w:trHeight w:val="432"/>
        </w:trPr>
        <w:tc>
          <w:tcPr>
            <w:tcW w:w="495" w:type="dxa"/>
            <w:shd w:val="clear" w:color="auto" w:fill="auto"/>
            <w:vAlign w:val="bottom"/>
          </w:tcPr>
          <w:p w:rsidR="00265573" w:rsidRPr="0084245D" w:rsidRDefault="00265573" w:rsidP="00DC6631">
            <w:pPr>
              <w:rPr>
                <w:rFonts w:ascii="Arial" w:hAnsi="Arial" w:cs="Arial"/>
                <w:sz w:val="20"/>
                <w:szCs w:val="20"/>
              </w:rPr>
            </w:pPr>
            <w:r w:rsidRPr="0084245D">
              <w:rPr>
                <w:rFonts w:ascii="Arial" w:hAnsi="Arial" w:cs="Arial"/>
                <w:sz w:val="20"/>
                <w:szCs w:val="20"/>
              </w:rPr>
              <w:t>4.</w:t>
            </w:r>
          </w:p>
        </w:tc>
        <w:tc>
          <w:tcPr>
            <w:tcW w:w="8361" w:type="dxa"/>
            <w:gridSpan w:val="2"/>
            <w:shd w:val="clear" w:color="auto" w:fill="auto"/>
            <w:vAlign w:val="bottom"/>
          </w:tcPr>
          <w:p w:rsidR="00265573" w:rsidRPr="0084245D" w:rsidRDefault="00265573" w:rsidP="00DC6631">
            <w:pPr>
              <w:rPr>
                <w:rFonts w:ascii="Arial" w:hAnsi="Arial" w:cs="Arial"/>
                <w:sz w:val="20"/>
                <w:szCs w:val="20"/>
              </w:rPr>
            </w:pPr>
            <w:r w:rsidRPr="0084245D">
              <w:rPr>
                <w:rFonts w:ascii="Arial" w:hAnsi="Arial" w:cs="Arial"/>
                <w:b/>
                <w:sz w:val="20"/>
                <w:szCs w:val="20"/>
              </w:rPr>
              <w:t>Patents, trademarks, rights, permits:</w:t>
            </w:r>
            <w:r w:rsidRPr="0084245D">
              <w:rPr>
                <w:rFonts w:ascii="Arial" w:hAnsi="Arial" w:cs="Arial"/>
                <w:sz w:val="20"/>
                <w:szCs w:val="20"/>
              </w:rPr>
              <w:t xml:space="preserve"> </w:t>
            </w:r>
          </w:p>
        </w:tc>
      </w:tr>
      <w:tr w:rsidR="00265573" w:rsidRPr="0084245D" w:rsidTr="0084245D">
        <w:trPr>
          <w:trHeight w:val="432"/>
        </w:trPr>
        <w:tc>
          <w:tcPr>
            <w:tcW w:w="495" w:type="dxa"/>
            <w:shd w:val="clear" w:color="auto" w:fill="auto"/>
            <w:vAlign w:val="bottom"/>
          </w:tcPr>
          <w:p w:rsidR="00265573" w:rsidRPr="0084245D" w:rsidRDefault="00265573" w:rsidP="00DC6631">
            <w:pPr>
              <w:rPr>
                <w:rFonts w:ascii="Arial" w:hAnsi="Arial" w:cs="Arial"/>
                <w:sz w:val="20"/>
                <w:szCs w:val="20"/>
              </w:rPr>
            </w:pPr>
          </w:p>
        </w:tc>
        <w:tc>
          <w:tcPr>
            <w:tcW w:w="8361" w:type="dxa"/>
            <w:gridSpan w:val="2"/>
            <w:shd w:val="clear" w:color="auto" w:fill="auto"/>
            <w:vAlign w:val="bottom"/>
          </w:tcPr>
          <w:p w:rsidR="00265573" w:rsidRPr="0084245D" w:rsidRDefault="00265573" w:rsidP="00DC6631">
            <w:pPr>
              <w:rPr>
                <w:rFonts w:ascii="Arial" w:hAnsi="Arial" w:cs="Arial"/>
                <w:sz w:val="20"/>
                <w:szCs w:val="20"/>
              </w:rPr>
            </w:pPr>
          </w:p>
          <w:p w:rsidR="00083642" w:rsidRPr="00083642" w:rsidRDefault="00083642" w:rsidP="00DC6631">
            <w:pPr>
              <w:rPr>
                <w:rFonts w:ascii="Bradley Hand ITC" w:hAnsi="Bradley Hand ITC" w:cs="Arial"/>
                <w:sz w:val="20"/>
                <w:szCs w:val="20"/>
              </w:rPr>
            </w:pPr>
            <w:r>
              <w:rPr>
                <w:rFonts w:ascii="Bradley Hand ITC" w:hAnsi="Bradley Hand ITC" w:cs="Arial"/>
                <w:sz w:val="20"/>
                <w:szCs w:val="20"/>
              </w:rPr>
              <w:t xml:space="preserve">25 year renewable land leases valued at $ 8.47 Million in 2018. </w:t>
            </w:r>
          </w:p>
          <w:p w:rsidR="005605B7" w:rsidRPr="0084245D" w:rsidRDefault="005605B7" w:rsidP="00DC6631">
            <w:pPr>
              <w:rPr>
                <w:rFonts w:ascii="Arial" w:hAnsi="Arial" w:cs="Arial"/>
                <w:sz w:val="20"/>
                <w:szCs w:val="20"/>
              </w:rPr>
            </w:pPr>
          </w:p>
        </w:tc>
      </w:tr>
    </w:tbl>
    <w:p w:rsidR="00295907" w:rsidRDefault="00295907" w:rsidP="002D79DA">
      <w:pPr>
        <w:rPr>
          <w:rFonts w:ascii="Arial" w:hAnsi="Arial" w:cs="Arial"/>
          <w:sz w:val="20"/>
          <w:szCs w:val="20"/>
        </w:rPr>
      </w:pPr>
    </w:p>
    <w:p w:rsidR="002D79DA" w:rsidRPr="002D79DA" w:rsidRDefault="00295907" w:rsidP="002D79DA">
      <w:pPr>
        <w:rPr>
          <w:rFonts w:ascii="Arial" w:hAnsi="Arial" w:cs="Arial"/>
          <w:sz w:val="20"/>
          <w:szCs w:val="20"/>
        </w:rPr>
      </w:pPr>
      <w:r>
        <w:rPr>
          <w:rFonts w:ascii="Arial" w:hAnsi="Arial" w:cs="Arial"/>
          <w:sz w:val="20"/>
          <w:szCs w:val="20"/>
        </w:rPr>
        <w:br w:type="page"/>
      </w:r>
      <w:r w:rsidR="002D79DA" w:rsidRPr="002D79DA">
        <w:rPr>
          <w:rFonts w:ascii="Arial" w:hAnsi="Arial" w:cs="Arial"/>
          <w:sz w:val="20"/>
          <w:szCs w:val="20"/>
        </w:rPr>
        <w:lastRenderedPageBreak/>
        <w:tab/>
      </w:r>
      <w:r w:rsidR="002D79DA" w:rsidRPr="002D79DA">
        <w:rPr>
          <w:rFonts w:ascii="Arial" w:hAnsi="Arial" w:cs="Arial"/>
          <w:sz w:val="20"/>
          <w:szCs w:val="20"/>
        </w:rPr>
        <w:tab/>
      </w:r>
      <w:r w:rsidR="002D79DA" w:rsidRPr="002D79DA">
        <w:rPr>
          <w:rFonts w:ascii="Arial" w:hAnsi="Arial" w:cs="Arial"/>
          <w:sz w:val="20"/>
          <w:szCs w:val="20"/>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
        <w:gridCol w:w="4653"/>
        <w:gridCol w:w="1800"/>
        <w:gridCol w:w="1908"/>
      </w:tblGrid>
      <w:tr w:rsidR="005B5CBA" w:rsidRPr="0084245D" w:rsidTr="0084245D">
        <w:trPr>
          <w:trHeight w:val="432"/>
        </w:trPr>
        <w:tc>
          <w:tcPr>
            <w:tcW w:w="8856" w:type="dxa"/>
            <w:gridSpan w:val="4"/>
            <w:shd w:val="clear" w:color="auto" w:fill="auto"/>
            <w:vAlign w:val="bottom"/>
          </w:tcPr>
          <w:p w:rsidR="005B5CBA" w:rsidRPr="0084245D" w:rsidRDefault="005B5CBA" w:rsidP="00D82DDA">
            <w:pPr>
              <w:rPr>
                <w:rFonts w:ascii="Arial" w:hAnsi="Arial" w:cs="Arial"/>
                <w:sz w:val="20"/>
                <w:szCs w:val="20"/>
              </w:rPr>
            </w:pPr>
            <w:r w:rsidRPr="0084245D">
              <w:rPr>
                <w:rFonts w:ascii="Arial" w:hAnsi="Arial" w:cs="Arial"/>
                <w:sz w:val="20"/>
                <w:szCs w:val="20"/>
              </w:rPr>
              <w:t>I. KNOWLEDGE OF THE ENTITY</w:t>
            </w:r>
          </w:p>
        </w:tc>
      </w:tr>
      <w:tr w:rsidR="005B5CBA" w:rsidRPr="0084245D" w:rsidTr="0084245D">
        <w:trPr>
          <w:trHeight w:val="432"/>
        </w:trPr>
        <w:tc>
          <w:tcPr>
            <w:tcW w:w="495" w:type="dxa"/>
            <w:shd w:val="clear" w:color="auto" w:fill="auto"/>
            <w:vAlign w:val="bottom"/>
          </w:tcPr>
          <w:p w:rsidR="005B5CBA" w:rsidRPr="0084245D" w:rsidRDefault="005B5CBA" w:rsidP="00D82DDA">
            <w:pPr>
              <w:rPr>
                <w:rFonts w:ascii="Arial" w:hAnsi="Arial" w:cs="Arial"/>
                <w:sz w:val="20"/>
                <w:szCs w:val="20"/>
              </w:rPr>
            </w:pPr>
            <w:r w:rsidRPr="0084245D">
              <w:rPr>
                <w:rFonts w:ascii="Arial" w:hAnsi="Arial" w:cs="Arial"/>
                <w:sz w:val="20"/>
                <w:szCs w:val="20"/>
              </w:rPr>
              <w:t>C.</w:t>
            </w:r>
          </w:p>
        </w:tc>
        <w:tc>
          <w:tcPr>
            <w:tcW w:w="8361" w:type="dxa"/>
            <w:gridSpan w:val="3"/>
            <w:shd w:val="clear" w:color="auto" w:fill="auto"/>
            <w:vAlign w:val="bottom"/>
          </w:tcPr>
          <w:p w:rsidR="005B5CBA" w:rsidRPr="0084245D" w:rsidRDefault="005B5CBA" w:rsidP="00D82DDA">
            <w:pPr>
              <w:rPr>
                <w:rFonts w:ascii="Arial" w:hAnsi="Arial" w:cs="Arial"/>
                <w:sz w:val="20"/>
                <w:szCs w:val="20"/>
              </w:rPr>
            </w:pPr>
            <w:r w:rsidRPr="0084245D">
              <w:rPr>
                <w:rFonts w:ascii="Arial" w:hAnsi="Arial" w:cs="Arial"/>
                <w:sz w:val="20"/>
                <w:szCs w:val="20"/>
              </w:rPr>
              <w:t>FINANCIAL POSITION</w:t>
            </w:r>
          </w:p>
        </w:tc>
      </w:tr>
      <w:tr w:rsidR="005B5CBA" w:rsidRPr="0084245D" w:rsidTr="0084245D">
        <w:trPr>
          <w:trHeight w:val="432"/>
        </w:trPr>
        <w:tc>
          <w:tcPr>
            <w:tcW w:w="495" w:type="dxa"/>
            <w:shd w:val="clear" w:color="auto" w:fill="auto"/>
            <w:vAlign w:val="bottom"/>
          </w:tcPr>
          <w:p w:rsidR="005B5CBA" w:rsidRPr="0084245D" w:rsidRDefault="005B5CBA" w:rsidP="00D82DDA">
            <w:pPr>
              <w:rPr>
                <w:rFonts w:ascii="Arial" w:hAnsi="Arial" w:cs="Arial"/>
                <w:sz w:val="20"/>
                <w:szCs w:val="20"/>
              </w:rPr>
            </w:pPr>
            <w:r w:rsidRPr="0084245D">
              <w:rPr>
                <w:rFonts w:ascii="Arial" w:hAnsi="Arial" w:cs="Arial"/>
                <w:sz w:val="20"/>
                <w:szCs w:val="20"/>
              </w:rPr>
              <w:t>2.</w:t>
            </w:r>
          </w:p>
        </w:tc>
        <w:tc>
          <w:tcPr>
            <w:tcW w:w="8361" w:type="dxa"/>
            <w:gridSpan w:val="3"/>
            <w:shd w:val="clear" w:color="auto" w:fill="auto"/>
            <w:vAlign w:val="bottom"/>
          </w:tcPr>
          <w:p w:rsidR="005B5CBA" w:rsidRPr="0084245D" w:rsidRDefault="005B5CBA" w:rsidP="00D82DDA">
            <w:pPr>
              <w:rPr>
                <w:rFonts w:ascii="Arial" w:hAnsi="Arial" w:cs="Arial"/>
                <w:sz w:val="20"/>
                <w:szCs w:val="20"/>
              </w:rPr>
            </w:pPr>
            <w:r w:rsidRPr="0084245D">
              <w:rPr>
                <w:rFonts w:ascii="Arial" w:hAnsi="Arial" w:cs="Arial"/>
                <w:b/>
                <w:sz w:val="20"/>
                <w:szCs w:val="20"/>
              </w:rPr>
              <w:t>Sources of financing:</w:t>
            </w:r>
          </w:p>
        </w:tc>
      </w:tr>
      <w:tr w:rsidR="005B5CBA" w:rsidRPr="0084245D" w:rsidTr="0084245D">
        <w:trPr>
          <w:trHeight w:val="432"/>
        </w:trPr>
        <w:tc>
          <w:tcPr>
            <w:tcW w:w="495" w:type="dxa"/>
            <w:shd w:val="clear" w:color="auto" w:fill="auto"/>
            <w:vAlign w:val="bottom"/>
          </w:tcPr>
          <w:p w:rsidR="005B5CBA" w:rsidRPr="0084245D" w:rsidRDefault="005B5CBA" w:rsidP="00D82DDA">
            <w:pPr>
              <w:rPr>
                <w:rFonts w:ascii="Arial" w:hAnsi="Arial" w:cs="Arial"/>
                <w:sz w:val="20"/>
                <w:szCs w:val="20"/>
              </w:rPr>
            </w:pPr>
          </w:p>
        </w:tc>
        <w:tc>
          <w:tcPr>
            <w:tcW w:w="8361" w:type="dxa"/>
            <w:gridSpan w:val="3"/>
            <w:shd w:val="clear" w:color="auto" w:fill="auto"/>
            <w:vAlign w:val="bottom"/>
          </w:tcPr>
          <w:p w:rsidR="005B5CBA" w:rsidRPr="0084245D" w:rsidRDefault="005B5CBA" w:rsidP="00D82DDA">
            <w:pPr>
              <w:rPr>
                <w:rFonts w:ascii="Arial" w:hAnsi="Arial" w:cs="Arial"/>
                <w:sz w:val="20"/>
                <w:szCs w:val="20"/>
              </w:rPr>
            </w:pPr>
            <w:r w:rsidRPr="0084245D">
              <w:rPr>
                <w:rFonts w:ascii="Arial" w:hAnsi="Arial" w:cs="Arial"/>
                <w:sz w:val="20"/>
                <w:szCs w:val="20"/>
              </w:rPr>
              <w:t>Financial institutions (name, address, bank accounts)</w:t>
            </w:r>
          </w:p>
        </w:tc>
      </w:tr>
      <w:tr w:rsidR="005B5CBA" w:rsidRPr="0084245D" w:rsidTr="0084245D">
        <w:trPr>
          <w:trHeight w:val="432"/>
        </w:trPr>
        <w:tc>
          <w:tcPr>
            <w:tcW w:w="495" w:type="dxa"/>
            <w:shd w:val="clear" w:color="auto" w:fill="auto"/>
            <w:vAlign w:val="bottom"/>
          </w:tcPr>
          <w:p w:rsidR="005B5CBA" w:rsidRPr="0084245D" w:rsidRDefault="005B5CBA" w:rsidP="00D82DDA">
            <w:pPr>
              <w:rPr>
                <w:rFonts w:ascii="Arial" w:hAnsi="Arial" w:cs="Arial"/>
                <w:sz w:val="20"/>
                <w:szCs w:val="20"/>
              </w:rPr>
            </w:pPr>
          </w:p>
        </w:tc>
        <w:tc>
          <w:tcPr>
            <w:tcW w:w="8361" w:type="dxa"/>
            <w:gridSpan w:val="3"/>
            <w:shd w:val="clear" w:color="auto" w:fill="auto"/>
            <w:vAlign w:val="center"/>
          </w:tcPr>
          <w:p w:rsidR="007352A1" w:rsidRPr="0084245D" w:rsidRDefault="007352A1" w:rsidP="007352A1">
            <w:pPr>
              <w:rPr>
                <w:rFonts w:ascii="Bradley Hand ITC" w:hAnsi="Bradley Hand ITC" w:cs="Arial"/>
                <w:sz w:val="20"/>
                <w:szCs w:val="20"/>
              </w:rPr>
            </w:pPr>
          </w:p>
        </w:tc>
      </w:tr>
      <w:tr w:rsidR="005B5CBA" w:rsidRPr="0084245D" w:rsidTr="0084245D">
        <w:trPr>
          <w:trHeight w:val="432"/>
        </w:trPr>
        <w:tc>
          <w:tcPr>
            <w:tcW w:w="495" w:type="dxa"/>
            <w:shd w:val="clear" w:color="auto" w:fill="auto"/>
            <w:vAlign w:val="bottom"/>
          </w:tcPr>
          <w:p w:rsidR="005B5CBA" w:rsidRPr="0084245D" w:rsidRDefault="005B5CBA" w:rsidP="00D82DDA">
            <w:pPr>
              <w:rPr>
                <w:rFonts w:ascii="Arial" w:hAnsi="Arial" w:cs="Arial"/>
                <w:sz w:val="20"/>
                <w:szCs w:val="20"/>
              </w:rPr>
            </w:pPr>
          </w:p>
        </w:tc>
        <w:tc>
          <w:tcPr>
            <w:tcW w:w="8361" w:type="dxa"/>
            <w:gridSpan w:val="3"/>
            <w:shd w:val="clear" w:color="auto" w:fill="auto"/>
            <w:vAlign w:val="bottom"/>
          </w:tcPr>
          <w:p w:rsidR="005B5CBA" w:rsidRPr="0084245D" w:rsidRDefault="005B5CBA" w:rsidP="00D82DDA">
            <w:pPr>
              <w:rPr>
                <w:rFonts w:ascii="Arial" w:hAnsi="Arial" w:cs="Arial"/>
                <w:sz w:val="20"/>
                <w:szCs w:val="20"/>
              </w:rPr>
            </w:pPr>
            <w:r w:rsidRPr="0084245D">
              <w:rPr>
                <w:rFonts w:ascii="Arial" w:hAnsi="Arial" w:cs="Arial"/>
                <w:sz w:val="20"/>
                <w:szCs w:val="20"/>
              </w:rPr>
              <w:t>Other sources of financing:</w:t>
            </w:r>
          </w:p>
        </w:tc>
      </w:tr>
      <w:tr w:rsidR="005B5CBA" w:rsidRPr="0084245D" w:rsidTr="0084245D">
        <w:trPr>
          <w:trHeight w:val="432"/>
        </w:trPr>
        <w:tc>
          <w:tcPr>
            <w:tcW w:w="495" w:type="dxa"/>
            <w:shd w:val="clear" w:color="auto" w:fill="auto"/>
            <w:vAlign w:val="bottom"/>
          </w:tcPr>
          <w:p w:rsidR="005B5CBA" w:rsidRPr="0084245D" w:rsidRDefault="005B5CBA" w:rsidP="00D82DDA">
            <w:pPr>
              <w:rPr>
                <w:rFonts w:ascii="Arial" w:hAnsi="Arial" w:cs="Arial"/>
                <w:sz w:val="20"/>
                <w:szCs w:val="20"/>
              </w:rPr>
            </w:pPr>
          </w:p>
        </w:tc>
        <w:tc>
          <w:tcPr>
            <w:tcW w:w="8361" w:type="dxa"/>
            <w:gridSpan w:val="3"/>
            <w:shd w:val="clear" w:color="auto" w:fill="auto"/>
            <w:vAlign w:val="bottom"/>
          </w:tcPr>
          <w:p w:rsidR="005B5CBA" w:rsidRDefault="0034351C" w:rsidP="00D82DDA">
            <w:pPr>
              <w:rPr>
                <w:rFonts w:ascii="Bradley Hand ITC" w:hAnsi="Bradley Hand ITC" w:cs="Arial"/>
                <w:i/>
                <w:sz w:val="22"/>
                <w:szCs w:val="22"/>
              </w:rPr>
            </w:pPr>
            <w:r w:rsidRPr="0034351C">
              <w:rPr>
                <w:rFonts w:ascii="Bradley Hand ITC" w:hAnsi="Bradley Hand ITC" w:cs="Arial"/>
                <w:i/>
                <w:sz w:val="22"/>
                <w:szCs w:val="22"/>
              </w:rPr>
              <w:t>Convertible debt owed to former Lead Partner</w:t>
            </w:r>
            <w:r>
              <w:rPr>
                <w:rFonts w:ascii="Bradley Hand ITC" w:hAnsi="Bradley Hand ITC" w:cs="Arial"/>
                <w:i/>
                <w:sz w:val="22"/>
                <w:szCs w:val="22"/>
              </w:rPr>
              <w:t xml:space="preserve"> at 6% per annum.</w:t>
            </w:r>
          </w:p>
          <w:p w:rsidR="0034351C" w:rsidRDefault="0034351C" w:rsidP="00D82DDA">
            <w:pPr>
              <w:rPr>
                <w:rFonts w:ascii="Bradley Hand ITC" w:hAnsi="Bradley Hand ITC" w:cs="Arial"/>
                <w:i/>
                <w:sz w:val="22"/>
                <w:szCs w:val="22"/>
              </w:rPr>
            </w:pPr>
            <w:r>
              <w:rPr>
                <w:rFonts w:ascii="Bradley Hand ITC" w:hAnsi="Bradley Hand ITC" w:cs="Arial"/>
                <w:i/>
                <w:sz w:val="22"/>
                <w:szCs w:val="22"/>
              </w:rPr>
              <w:t xml:space="preserve">Long term borrowing at 7% per annum secured using production properties. </w:t>
            </w:r>
          </w:p>
          <w:p w:rsidR="0034351C" w:rsidRPr="0084245D" w:rsidRDefault="0034351C" w:rsidP="00D82DDA">
            <w:pPr>
              <w:rPr>
                <w:rFonts w:ascii="Arial" w:hAnsi="Arial" w:cs="Arial"/>
                <w:sz w:val="20"/>
                <w:szCs w:val="20"/>
              </w:rPr>
            </w:pPr>
          </w:p>
        </w:tc>
      </w:tr>
      <w:tr w:rsidR="005B5CBA" w:rsidRPr="0084245D" w:rsidTr="0084245D">
        <w:trPr>
          <w:trHeight w:val="432"/>
        </w:trPr>
        <w:tc>
          <w:tcPr>
            <w:tcW w:w="495" w:type="dxa"/>
            <w:shd w:val="clear" w:color="auto" w:fill="auto"/>
            <w:vAlign w:val="bottom"/>
          </w:tcPr>
          <w:p w:rsidR="005B5CBA" w:rsidRPr="0084245D" w:rsidRDefault="005B5CBA" w:rsidP="00D82DDA">
            <w:pPr>
              <w:rPr>
                <w:rFonts w:ascii="Arial" w:hAnsi="Arial" w:cs="Arial"/>
                <w:sz w:val="20"/>
                <w:szCs w:val="20"/>
              </w:rPr>
            </w:pPr>
            <w:r w:rsidRPr="0084245D">
              <w:rPr>
                <w:rFonts w:ascii="Arial" w:hAnsi="Arial" w:cs="Arial"/>
                <w:sz w:val="20"/>
                <w:szCs w:val="20"/>
              </w:rPr>
              <w:t>3.</w:t>
            </w:r>
          </w:p>
        </w:tc>
        <w:tc>
          <w:tcPr>
            <w:tcW w:w="8361" w:type="dxa"/>
            <w:gridSpan w:val="3"/>
            <w:shd w:val="clear" w:color="auto" w:fill="auto"/>
            <w:vAlign w:val="bottom"/>
          </w:tcPr>
          <w:p w:rsidR="005B5CBA" w:rsidRPr="0084245D" w:rsidRDefault="005B5CBA" w:rsidP="00D82DDA">
            <w:pPr>
              <w:rPr>
                <w:rFonts w:ascii="Arial" w:hAnsi="Arial" w:cs="Arial"/>
                <w:b/>
                <w:sz w:val="20"/>
                <w:szCs w:val="20"/>
              </w:rPr>
            </w:pPr>
            <w:r w:rsidRPr="0084245D">
              <w:rPr>
                <w:rFonts w:ascii="Arial" w:hAnsi="Arial" w:cs="Arial"/>
                <w:b/>
                <w:sz w:val="20"/>
                <w:szCs w:val="20"/>
              </w:rPr>
              <w:t>Is there a doubt as to the entity's ability to continue as a going concern?</w:t>
            </w:r>
          </w:p>
        </w:tc>
      </w:tr>
      <w:tr w:rsidR="005B5CBA" w:rsidRPr="0084245D" w:rsidTr="0084245D">
        <w:trPr>
          <w:trHeight w:val="432"/>
        </w:trPr>
        <w:tc>
          <w:tcPr>
            <w:tcW w:w="495" w:type="dxa"/>
            <w:shd w:val="clear" w:color="auto" w:fill="auto"/>
            <w:vAlign w:val="bottom"/>
          </w:tcPr>
          <w:p w:rsidR="005B5CBA" w:rsidRPr="0084245D" w:rsidRDefault="005B5CBA" w:rsidP="00D82DDA">
            <w:pPr>
              <w:rPr>
                <w:rFonts w:ascii="Arial" w:hAnsi="Arial" w:cs="Arial"/>
                <w:sz w:val="20"/>
                <w:szCs w:val="20"/>
              </w:rPr>
            </w:pPr>
          </w:p>
        </w:tc>
        <w:tc>
          <w:tcPr>
            <w:tcW w:w="8361" w:type="dxa"/>
            <w:gridSpan w:val="3"/>
            <w:shd w:val="clear" w:color="auto" w:fill="auto"/>
            <w:vAlign w:val="center"/>
          </w:tcPr>
          <w:p w:rsidR="005B5CBA" w:rsidRPr="0084245D" w:rsidRDefault="004B61D8" w:rsidP="007352A1">
            <w:pPr>
              <w:rPr>
                <w:rFonts w:ascii="Bradley Hand ITC" w:hAnsi="Bradley Hand ITC" w:cs="Arial"/>
                <w:sz w:val="20"/>
                <w:szCs w:val="20"/>
              </w:rPr>
            </w:pPr>
            <w:r>
              <w:rPr>
                <w:rFonts w:ascii="Bradley Hand ITC" w:hAnsi="Bradley Hand ITC" w:cs="Arial"/>
                <w:sz w:val="20"/>
                <w:szCs w:val="20"/>
              </w:rPr>
              <w:t xml:space="preserve">Not Applicable </w:t>
            </w:r>
          </w:p>
        </w:tc>
      </w:tr>
      <w:tr w:rsidR="005B5CBA" w:rsidRPr="0084245D" w:rsidTr="0084245D">
        <w:trPr>
          <w:trHeight w:val="432"/>
        </w:trPr>
        <w:tc>
          <w:tcPr>
            <w:tcW w:w="495" w:type="dxa"/>
            <w:shd w:val="clear" w:color="auto" w:fill="auto"/>
            <w:vAlign w:val="bottom"/>
          </w:tcPr>
          <w:p w:rsidR="005B5CBA" w:rsidRPr="0084245D" w:rsidRDefault="005B5CBA" w:rsidP="00D82DDA">
            <w:pPr>
              <w:rPr>
                <w:rFonts w:ascii="Arial" w:hAnsi="Arial" w:cs="Arial"/>
                <w:sz w:val="20"/>
                <w:szCs w:val="20"/>
              </w:rPr>
            </w:pPr>
          </w:p>
        </w:tc>
        <w:tc>
          <w:tcPr>
            <w:tcW w:w="8361" w:type="dxa"/>
            <w:gridSpan w:val="3"/>
            <w:shd w:val="clear" w:color="auto" w:fill="auto"/>
            <w:vAlign w:val="bottom"/>
          </w:tcPr>
          <w:p w:rsidR="005B5CBA" w:rsidRPr="0084245D" w:rsidRDefault="005B5CBA" w:rsidP="00D82DDA">
            <w:pPr>
              <w:rPr>
                <w:rFonts w:ascii="Arial" w:hAnsi="Arial" w:cs="Arial"/>
                <w:b/>
                <w:sz w:val="20"/>
                <w:szCs w:val="20"/>
              </w:rPr>
            </w:pPr>
          </w:p>
        </w:tc>
      </w:tr>
      <w:tr w:rsidR="005B5CBA" w:rsidRPr="0084245D" w:rsidTr="0084245D">
        <w:trPr>
          <w:trHeight w:val="432"/>
        </w:trPr>
        <w:tc>
          <w:tcPr>
            <w:tcW w:w="495" w:type="dxa"/>
            <w:shd w:val="clear" w:color="auto" w:fill="auto"/>
            <w:vAlign w:val="bottom"/>
          </w:tcPr>
          <w:p w:rsidR="005B5CBA" w:rsidRPr="0084245D" w:rsidRDefault="005B5CBA" w:rsidP="00D82DDA">
            <w:pPr>
              <w:rPr>
                <w:rFonts w:ascii="Arial" w:hAnsi="Arial" w:cs="Arial"/>
                <w:sz w:val="20"/>
                <w:szCs w:val="20"/>
              </w:rPr>
            </w:pPr>
            <w:r w:rsidRPr="0084245D">
              <w:rPr>
                <w:rFonts w:ascii="Arial" w:hAnsi="Arial" w:cs="Arial"/>
                <w:sz w:val="20"/>
                <w:szCs w:val="20"/>
              </w:rPr>
              <w:t>D.</w:t>
            </w:r>
          </w:p>
        </w:tc>
        <w:tc>
          <w:tcPr>
            <w:tcW w:w="8361" w:type="dxa"/>
            <w:gridSpan w:val="3"/>
            <w:shd w:val="clear" w:color="auto" w:fill="auto"/>
            <w:vAlign w:val="bottom"/>
          </w:tcPr>
          <w:p w:rsidR="005B5CBA" w:rsidRPr="0084245D" w:rsidRDefault="008F55FF" w:rsidP="00D82DDA">
            <w:pPr>
              <w:rPr>
                <w:rFonts w:ascii="Arial" w:hAnsi="Arial" w:cs="Arial"/>
                <w:sz w:val="20"/>
                <w:szCs w:val="20"/>
              </w:rPr>
            </w:pPr>
            <w:r w:rsidRPr="0084245D">
              <w:rPr>
                <w:rFonts w:ascii="Arial" w:hAnsi="Arial" w:cs="Arial"/>
                <w:sz w:val="20"/>
                <w:szCs w:val="20"/>
              </w:rPr>
              <w:t>INFORMATION SYSTEMS</w:t>
            </w:r>
          </w:p>
        </w:tc>
      </w:tr>
      <w:tr w:rsidR="005B5CBA" w:rsidRPr="0084245D" w:rsidTr="0084245D">
        <w:trPr>
          <w:trHeight w:val="432"/>
        </w:trPr>
        <w:tc>
          <w:tcPr>
            <w:tcW w:w="495" w:type="dxa"/>
            <w:shd w:val="clear" w:color="auto" w:fill="auto"/>
            <w:vAlign w:val="bottom"/>
          </w:tcPr>
          <w:p w:rsidR="005B5CBA" w:rsidRPr="0084245D" w:rsidRDefault="008F55FF" w:rsidP="00D82DDA">
            <w:pPr>
              <w:rPr>
                <w:rFonts w:ascii="Arial" w:hAnsi="Arial" w:cs="Arial"/>
                <w:sz w:val="20"/>
                <w:szCs w:val="20"/>
              </w:rPr>
            </w:pPr>
            <w:r w:rsidRPr="0084245D">
              <w:rPr>
                <w:rFonts w:ascii="Arial" w:hAnsi="Arial" w:cs="Arial"/>
                <w:sz w:val="20"/>
                <w:szCs w:val="20"/>
              </w:rPr>
              <w:t>1.</w:t>
            </w:r>
          </w:p>
        </w:tc>
        <w:tc>
          <w:tcPr>
            <w:tcW w:w="8361" w:type="dxa"/>
            <w:gridSpan w:val="3"/>
            <w:shd w:val="clear" w:color="auto" w:fill="auto"/>
            <w:vAlign w:val="bottom"/>
          </w:tcPr>
          <w:p w:rsidR="005B5CBA" w:rsidRPr="0084245D" w:rsidRDefault="008F55FF" w:rsidP="00D82DDA">
            <w:pPr>
              <w:rPr>
                <w:rFonts w:ascii="Bradley Hand ITC" w:hAnsi="Bradley Hand ITC" w:cs="Arial"/>
                <w:b/>
                <w:sz w:val="22"/>
                <w:szCs w:val="22"/>
              </w:rPr>
            </w:pPr>
            <w:r w:rsidRPr="0084245D">
              <w:rPr>
                <w:rFonts w:ascii="Arial" w:hAnsi="Arial" w:cs="Arial"/>
                <w:b/>
                <w:sz w:val="20"/>
                <w:szCs w:val="20"/>
              </w:rPr>
              <w:t>Accounting records and documents</w:t>
            </w:r>
            <w:r w:rsidR="005B5CBA" w:rsidRPr="0084245D">
              <w:rPr>
                <w:rFonts w:ascii="Arial" w:hAnsi="Arial" w:cs="Arial"/>
                <w:b/>
                <w:sz w:val="20"/>
                <w:szCs w:val="20"/>
              </w:rPr>
              <w:t>:</w:t>
            </w:r>
          </w:p>
        </w:tc>
      </w:tr>
      <w:tr w:rsidR="008F55FF" w:rsidRPr="0084245D" w:rsidTr="0084245D">
        <w:trPr>
          <w:trHeight w:val="432"/>
        </w:trPr>
        <w:tc>
          <w:tcPr>
            <w:tcW w:w="495" w:type="dxa"/>
            <w:shd w:val="clear" w:color="auto" w:fill="auto"/>
            <w:vAlign w:val="bottom"/>
          </w:tcPr>
          <w:p w:rsidR="008F55FF" w:rsidRPr="0084245D" w:rsidRDefault="008F55FF" w:rsidP="00D82DDA">
            <w:pPr>
              <w:rPr>
                <w:rFonts w:ascii="Arial" w:hAnsi="Arial" w:cs="Arial"/>
                <w:sz w:val="20"/>
                <w:szCs w:val="20"/>
              </w:rPr>
            </w:pPr>
          </w:p>
        </w:tc>
        <w:tc>
          <w:tcPr>
            <w:tcW w:w="4653" w:type="dxa"/>
            <w:shd w:val="clear" w:color="auto" w:fill="auto"/>
            <w:vAlign w:val="bottom"/>
          </w:tcPr>
          <w:p w:rsidR="008F55FF" w:rsidRPr="0084245D" w:rsidRDefault="008F55FF" w:rsidP="00D82DDA">
            <w:pPr>
              <w:rPr>
                <w:rFonts w:ascii="Arial" w:hAnsi="Arial" w:cs="Arial"/>
                <w:sz w:val="20"/>
                <w:szCs w:val="20"/>
              </w:rPr>
            </w:pPr>
            <w:r w:rsidRPr="0084245D">
              <w:rPr>
                <w:rFonts w:ascii="Arial" w:hAnsi="Arial" w:cs="Arial"/>
                <w:sz w:val="20"/>
                <w:szCs w:val="20"/>
              </w:rPr>
              <w:t>Accounting cycle or subsystem</w:t>
            </w:r>
          </w:p>
        </w:tc>
        <w:tc>
          <w:tcPr>
            <w:tcW w:w="1800" w:type="dxa"/>
            <w:shd w:val="clear" w:color="auto" w:fill="auto"/>
            <w:vAlign w:val="bottom"/>
          </w:tcPr>
          <w:p w:rsidR="008F55FF" w:rsidRPr="0084245D" w:rsidRDefault="008F55FF" w:rsidP="0084245D">
            <w:pPr>
              <w:jc w:val="center"/>
              <w:rPr>
                <w:rFonts w:ascii="Arial" w:hAnsi="Arial" w:cs="Arial"/>
                <w:sz w:val="20"/>
                <w:szCs w:val="20"/>
              </w:rPr>
            </w:pPr>
            <w:r w:rsidRPr="0084245D">
              <w:rPr>
                <w:rFonts w:ascii="Arial" w:hAnsi="Arial" w:cs="Arial"/>
                <w:sz w:val="20"/>
                <w:szCs w:val="20"/>
              </w:rPr>
              <w:t>System or software</w:t>
            </w:r>
          </w:p>
        </w:tc>
        <w:tc>
          <w:tcPr>
            <w:tcW w:w="1908" w:type="dxa"/>
            <w:shd w:val="clear" w:color="auto" w:fill="auto"/>
            <w:vAlign w:val="bottom"/>
          </w:tcPr>
          <w:p w:rsidR="008F55FF" w:rsidRPr="0084245D" w:rsidRDefault="008F55FF" w:rsidP="0084245D">
            <w:pPr>
              <w:jc w:val="center"/>
              <w:rPr>
                <w:rFonts w:ascii="Bradley Hand ITC" w:hAnsi="Bradley Hand ITC" w:cs="Arial"/>
                <w:sz w:val="22"/>
                <w:szCs w:val="22"/>
              </w:rPr>
            </w:pPr>
            <w:r w:rsidRPr="0084245D">
              <w:rPr>
                <w:rFonts w:ascii="Arial" w:hAnsi="Arial" w:cs="Arial"/>
                <w:sz w:val="20"/>
                <w:szCs w:val="20"/>
              </w:rPr>
              <w:t>Frequency</w:t>
            </w:r>
          </w:p>
        </w:tc>
      </w:tr>
      <w:tr w:rsidR="00D41553" w:rsidRPr="0084245D" w:rsidTr="006447C5">
        <w:trPr>
          <w:trHeight w:val="1097"/>
        </w:trPr>
        <w:tc>
          <w:tcPr>
            <w:tcW w:w="495" w:type="dxa"/>
            <w:shd w:val="clear" w:color="auto" w:fill="auto"/>
            <w:vAlign w:val="bottom"/>
          </w:tcPr>
          <w:p w:rsidR="00D41553" w:rsidRPr="0084245D" w:rsidRDefault="00D41553" w:rsidP="00D82DDA">
            <w:pPr>
              <w:rPr>
                <w:rFonts w:ascii="Arial" w:hAnsi="Arial" w:cs="Arial"/>
                <w:sz w:val="20"/>
                <w:szCs w:val="20"/>
              </w:rPr>
            </w:pPr>
          </w:p>
        </w:tc>
        <w:tc>
          <w:tcPr>
            <w:tcW w:w="8361" w:type="dxa"/>
            <w:gridSpan w:val="3"/>
            <w:shd w:val="clear" w:color="auto" w:fill="auto"/>
            <w:vAlign w:val="bottom"/>
          </w:tcPr>
          <w:p w:rsidR="00D41553" w:rsidRPr="00F82FB1" w:rsidRDefault="00D41553" w:rsidP="00F82FB1">
            <w:pPr>
              <w:rPr>
                <w:rFonts w:ascii="Bradley Hand ITC" w:hAnsi="Bradley Hand ITC" w:cs="Arial"/>
                <w:sz w:val="22"/>
                <w:szCs w:val="22"/>
              </w:rPr>
            </w:pPr>
            <w:r w:rsidRPr="00C10CA5">
              <w:rPr>
                <w:rFonts w:ascii="Bradley Hand ITC" w:hAnsi="Bradley Hand ITC" w:cs="Arial"/>
                <w:i/>
                <w:sz w:val="22"/>
                <w:szCs w:val="22"/>
              </w:rPr>
              <w:t>Our IS specialty group will look at system after we agree to audit.</w:t>
            </w:r>
            <w:r>
              <w:rPr>
                <w:rFonts w:ascii="Bradley Hand ITC" w:hAnsi="Bradley Hand ITC" w:cs="Arial"/>
                <w:i/>
                <w:sz w:val="22"/>
                <w:szCs w:val="22"/>
              </w:rPr>
              <w:t xml:space="preserve">  Current system is a small network with a PC server.  Manufacturing systems are based on a DELL T610 with numerically controlled integrated management software.  The manufacturing system does not produce accounting information, so we do not need to study it.</w:t>
            </w:r>
          </w:p>
        </w:tc>
      </w:tr>
      <w:tr w:rsidR="008F55FF" w:rsidRPr="0084245D" w:rsidTr="0084245D">
        <w:trPr>
          <w:trHeight w:val="432"/>
        </w:trPr>
        <w:tc>
          <w:tcPr>
            <w:tcW w:w="495" w:type="dxa"/>
            <w:shd w:val="clear" w:color="auto" w:fill="auto"/>
            <w:vAlign w:val="bottom"/>
          </w:tcPr>
          <w:p w:rsidR="008F55FF" w:rsidRPr="0084245D" w:rsidRDefault="008F55FF" w:rsidP="00D82DDA">
            <w:pPr>
              <w:rPr>
                <w:rFonts w:ascii="Arial" w:hAnsi="Arial" w:cs="Arial"/>
                <w:sz w:val="20"/>
                <w:szCs w:val="20"/>
              </w:rPr>
            </w:pPr>
            <w:r w:rsidRPr="0084245D">
              <w:rPr>
                <w:rFonts w:ascii="Arial" w:hAnsi="Arial" w:cs="Arial"/>
                <w:sz w:val="20"/>
                <w:szCs w:val="20"/>
              </w:rPr>
              <w:t>2.</w:t>
            </w:r>
          </w:p>
        </w:tc>
        <w:tc>
          <w:tcPr>
            <w:tcW w:w="8361" w:type="dxa"/>
            <w:gridSpan w:val="3"/>
            <w:shd w:val="clear" w:color="auto" w:fill="auto"/>
            <w:vAlign w:val="bottom"/>
          </w:tcPr>
          <w:p w:rsidR="008F55FF" w:rsidRPr="0084245D" w:rsidRDefault="000C7903" w:rsidP="00D82DDA">
            <w:pPr>
              <w:rPr>
                <w:rFonts w:ascii="Bradley Hand ITC" w:hAnsi="Bradley Hand ITC" w:cs="Arial"/>
                <w:b/>
                <w:sz w:val="22"/>
                <w:szCs w:val="22"/>
              </w:rPr>
            </w:pPr>
            <w:r w:rsidRPr="0084245D">
              <w:rPr>
                <w:rFonts w:ascii="Arial" w:hAnsi="Arial" w:cs="Arial"/>
                <w:b/>
                <w:sz w:val="20"/>
                <w:szCs w:val="20"/>
              </w:rPr>
              <w:t>Description of computerized system</w:t>
            </w:r>
            <w:r w:rsidRPr="0084245D">
              <w:rPr>
                <w:rFonts w:ascii="Arial" w:hAnsi="Arial" w:cs="Arial"/>
                <w:sz w:val="20"/>
                <w:szCs w:val="20"/>
              </w:rPr>
              <w:t>:</w:t>
            </w:r>
          </w:p>
        </w:tc>
      </w:tr>
      <w:tr w:rsidR="008F55FF" w:rsidRPr="0084245D" w:rsidTr="0084245D">
        <w:trPr>
          <w:trHeight w:val="432"/>
        </w:trPr>
        <w:tc>
          <w:tcPr>
            <w:tcW w:w="495" w:type="dxa"/>
            <w:shd w:val="clear" w:color="auto" w:fill="auto"/>
            <w:vAlign w:val="bottom"/>
          </w:tcPr>
          <w:p w:rsidR="008F55FF" w:rsidRPr="0084245D" w:rsidRDefault="008F55FF" w:rsidP="00D82DDA">
            <w:pPr>
              <w:rPr>
                <w:rFonts w:ascii="Arial" w:hAnsi="Arial" w:cs="Arial"/>
                <w:sz w:val="20"/>
                <w:szCs w:val="20"/>
              </w:rPr>
            </w:pPr>
          </w:p>
        </w:tc>
        <w:tc>
          <w:tcPr>
            <w:tcW w:w="8361" w:type="dxa"/>
            <w:gridSpan w:val="3"/>
            <w:shd w:val="clear" w:color="auto" w:fill="auto"/>
            <w:vAlign w:val="bottom"/>
          </w:tcPr>
          <w:p w:rsidR="008F55FF" w:rsidRPr="0084245D" w:rsidRDefault="008F55FF" w:rsidP="00D82DDA">
            <w:pPr>
              <w:rPr>
                <w:rFonts w:ascii="Bradley Hand ITC" w:hAnsi="Bradley Hand ITC" w:cs="Arial"/>
                <w:sz w:val="22"/>
                <w:szCs w:val="22"/>
              </w:rPr>
            </w:pPr>
          </w:p>
          <w:p w:rsidR="005605B7" w:rsidRPr="0084245D" w:rsidRDefault="00C10CA5" w:rsidP="00D82DDA">
            <w:pPr>
              <w:rPr>
                <w:rFonts w:ascii="Bradley Hand ITC" w:hAnsi="Bradley Hand ITC" w:cs="Arial"/>
                <w:sz w:val="22"/>
                <w:szCs w:val="22"/>
              </w:rPr>
            </w:pPr>
            <w:r w:rsidRPr="00C10CA5">
              <w:rPr>
                <w:rFonts w:ascii="Bradley Hand ITC" w:hAnsi="Bradley Hand ITC" w:cs="Arial"/>
                <w:i/>
                <w:sz w:val="22"/>
                <w:szCs w:val="22"/>
              </w:rPr>
              <w:t>Our IS specialty group will look at system after we agree to audit.</w:t>
            </w:r>
            <w:r>
              <w:rPr>
                <w:rFonts w:ascii="Bradley Hand ITC" w:hAnsi="Bradley Hand ITC" w:cs="Arial"/>
                <w:i/>
                <w:sz w:val="22"/>
                <w:szCs w:val="22"/>
              </w:rPr>
              <w:t xml:space="preserve">  Current system is a small network with a PC server.  Manufacturing systems are based on a DELL T610</w:t>
            </w:r>
            <w:r w:rsidR="00956D74">
              <w:rPr>
                <w:rFonts w:ascii="Bradley Hand ITC" w:hAnsi="Bradley Hand ITC" w:cs="Arial"/>
                <w:i/>
                <w:sz w:val="22"/>
                <w:szCs w:val="22"/>
              </w:rPr>
              <w:t xml:space="preserve"> with numerically controlled integrated management software.  The manufacturing system does not produce accounting information</w:t>
            </w:r>
            <w:r w:rsidR="008C4D60">
              <w:rPr>
                <w:rFonts w:ascii="Bradley Hand ITC" w:hAnsi="Bradley Hand ITC" w:cs="Arial"/>
                <w:i/>
                <w:sz w:val="22"/>
                <w:szCs w:val="22"/>
              </w:rPr>
              <w:t>,</w:t>
            </w:r>
            <w:r w:rsidR="00956D74">
              <w:rPr>
                <w:rFonts w:ascii="Bradley Hand ITC" w:hAnsi="Bradley Hand ITC" w:cs="Arial"/>
                <w:i/>
                <w:sz w:val="22"/>
                <w:szCs w:val="22"/>
              </w:rPr>
              <w:t xml:space="preserve"> so we do not need to study it.</w:t>
            </w:r>
          </w:p>
          <w:p w:rsidR="005605B7" w:rsidRPr="0084245D" w:rsidRDefault="005605B7" w:rsidP="00D82DDA">
            <w:pPr>
              <w:rPr>
                <w:rFonts w:ascii="Bradley Hand ITC" w:hAnsi="Bradley Hand ITC" w:cs="Arial"/>
                <w:sz w:val="22"/>
                <w:szCs w:val="22"/>
              </w:rPr>
            </w:pPr>
          </w:p>
          <w:p w:rsidR="005605B7" w:rsidRPr="0084245D" w:rsidRDefault="005605B7" w:rsidP="00D82DDA">
            <w:pPr>
              <w:rPr>
                <w:rFonts w:ascii="Bradley Hand ITC" w:hAnsi="Bradley Hand ITC" w:cs="Arial"/>
                <w:sz w:val="22"/>
                <w:szCs w:val="22"/>
              </w:rPr>
            </w:pPr>
          </w:p>
          <w:p w:rsidR="005605B7" w:rsidRPr="0084245D" w:rsidRDefault="005605B7" w:rsidP="00D82DDA">
            <w:pPr>
              <w:rPr>
                <w:rFonts w:ascii="Bradley Hand ITC" w:hAnsi="Bradley Hand ITC" w:cs="Arial"/>
                <w:sz w:val="22"/>
                <w:szCs w:val="22"/>
              </w:rPr>
            </w:pPr>
          </w:p>
        </w:tc>
      </w:tr>
    </w:tbl>
    <w:p w:rsidR="002D79DA" w:rsidRPr="002D79DA" w:rsidRDefault="002D79DA" w:rsidP="002D79DA">
      <w:pPr>
        <w:rPr>
          <w:rFonts w:ascii="Arial" w:hAnsi="Arial" w:cs="Arial"/>
          <w:sz w:val="20"/>
          <w:szCs w:val="20"/>
        </w:rPr>
      </w:pPr>
    </w:p>
    <w:p w:rsidR="00681A9E" w:rsidRPr="002D79DA" w:rsidRDefault="000C7903" w:rsidP="002D79DA">
      <w:pPr>
        <w:rPr>
          <w:rFonts w:ascii="Arial" w:hAnsi="Arial" w:cs="Arial"/>
          <w:sz w:val="20"/>
          <w:szCs w:val="20"/>
        </w:rPr>
      </w:pPr>
      <w:r>
        <w:rPr>
          <w:rFonts w:ascii="Arial" w:hAnsi="Arial" w:cs="Arial"/>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
        <w:gridCol w:w="2787"/>
        <w:gridCol w:w="966"/>
        <w:gridCol w:w="4608"/>
      </w:tblGrid>
      <w:tr w:rsidR="00681A9E" w:rsidRPr="0084245D" w:rsidTr="0084245D">
        <w:trPr>
          <w:trHeight w:val="432"/>
        </w:trPr>
        <w:tc>
          <w:tcPr>
            <w:tcW w:w="8856" w:type="dxa"/>
            <w:gridSpan w:val="4"/>
            <w:shd w:val="clear" w:color="auto" w:fill="auto"/>
            <w:vAlign w:val="bottom"/>
          </w:tcPr>
          <w:p w:rsidR="00681A9E" w:rsidRPr="0084245D" w:rsidRDefault="002F1083" w:rsidP="00D82DDA">
            <w:pPr>
              <w:rPr>
                <w:rFonts w:ascii="Arial" w:hAnsi="Arial" w:cs="Arial"/>
                <w:sz w:val="20"/>
                <w:szCs w:val="20"/>
              </w:rPr>
            </w:pPr>
            <w:r w:rsidRPr="0084245D">
              <w:rPr>
                <w:rFonts w:ascii="Arial" w:hAnsi="Arial" w:cs="Arial"/>
                <w:sz w:val="20"/>
                <w:szCs w:val="20"/>
              </w:rPr>
              <w:lastRenderedPageBreak/>
              <w:t>II. KNOWLEDGE OF THE INDUSTRY</w:t>
            </w:r>
          </w:p>
        </w:tc>
      </w:tr>
      <w:tr w:rsidR="00681A9E" w:rsidRPr="0084245D" w:rsidTr="0084245D">
        <w:trPr>
          <w:trHeight w:val="432"/>
        </w:trPr>
        <w:tc>
          <w:tcPr>
            <w:tcW w:w="495" w:type="dxa"/>
            <w:shd w:val="clear" w:color="auto" w:fill="auto"/>
          </w:tcPr>
          <w:p w:rsidR="00681A9E" w:rsidRPr="0084245D" w:rsidRDefault="00681A9E" w:rsidP="00D82DDA">
            <w:pPr>
              <w:rPr>
                <w:rFonts w:ascii="Arial" w:hAnsi="Arial" w:cs="Arial"/>
                <w:sz w:val="20"/>
                <w:szCs w:val="20"/>
              </w:rPr>
            </w:pPr>
            <w:r w:rsidRPr="0084245D">
              <w:rPr>
                <w:rFonts w:ascii="Arial" w:hAnsi="Arial" w:cs="Arial"/>
                <w:sz w:val="20"/>
                <w:szCs w:val="20"/>
              </w:rPr>
              <w:t>1.</w:t>
            </w:r>
          </w:p>
        </w:tc>
        <w:tc>
          <w:tcPr>
            <w:tcW w:w="8361" w:type="dxa"/>
            <w:gridSpan w:val="3"/>
            <w:shd w:val="clear" w:color="auto" w:fill="auto"/>
            <w:vAlign w:val="bottom"/>
          </w:tcPr>
          <w:p w:rsidR="00681A9E" w:rsidRPr="0084245D" w:rsidRDefault="002F1083" w:rsidP="002F1083">
            <w:pPr>
              <w:rPr>
                <w:rFonts w:ascii="Arial" w:hAnsi="Arial" w:cs="Arial"/>
                <w:sz w:val="20"/>
                <w:szCs w:val="20"/>
              </w:rPr>
            </w:pPr>
            <w:r w:rsidRPr="0084245D">
              <w:rPr>
                <w:rFonts w:ascii="Arial" w:hAnsi="Arial" w:cs="Arial"/>
                <w:b/>
                <w:sz w:val="20"/>
                <w:szCs w:val="20"/>
              </w:rPr>
              <w:t>Economic conditions of the industry:</w:t>
            </w:r>
            <w:r w:rsidRPr="0084245D">
              <w:rPr>
                <w:rFonts w:ascii="Arial" w:hAnsi="Arial" w:cs="Arial"/>
                <w:sz w:val="20"/>
                <w:szCs w:val="20"/>
              </w:rPr>
              <w:t xml:space="preserve"> (market conditions, decline or expansion of business, price changes, economic cycle of products, etc.)</w:t>
            </w:r>
            <w:r w:rsidR="00681A9E" w:rsidRPr="0084245D">
              <w:rPr>
                <w:rFonts w:ascii="Arial" w:hAnsi="Arial" w:cs="Arial"/>
                <w:b/>
                <w:sz w:val="20"/>
                <w:szCs w:val="20"/>
              </w:rPr>
              <w:t>:</w:t>
            </w:r>
          </w:p>
        </w:tc>
      </w:tr>
      <w:tr w:rsidR="00681A9E" w:rsidRPr="0084245D" w:rsidTr="0084245D">
        <w:trPr>
          <w:trHeight w:val="432"/>
        </w:trPr>
        <w:tc>
          <w:tcPr>
            <w:tcW w:w="495" w:type="dxa"/>
            <w:shd w:val="clear" w:color="auto" w:fill="auto"/>
            <w:vAlign w:val="bottom"/>
          </w:tcPr>
          <w:p w:rsidR="00681A9E" w:rsidRPr="0084245D" w:rsidRDefault="00681A9E" w:rsidP="00D82DDA">
            <w:pPr>
              <w:rPr>
                <w:rFonts w:ascii="Arial" w:hAnsi="Arial" w:cs="Arial"/>
                <w:sz w:val="20"/>
                <w:szCs w:val="20"/>
              </w:rPr>
            </w:pPr>
          </w:p>
        </w:tc>
        <w:tc>
          <w:tcPr>
            <w:tcW w:w="8361" w:type="dxa"/>
            <w:gridSpan w:val="3"/>
            <w:shd w:val="clear" w:color="auto" w:fill="auto"/>
            <w:vAlign w:val="center"/>
          </w:tcPr>
          <w:p w:rsidR="00681A9E" w:rsidRDefault="00681A9E" w:rsidP="002E31B7">
            <w:pPr>
              <w:rPr>
                <w:rFonts w:ascii="Bradley Hand ITC" w:hAnsi="Bradley Hand ITC" w:cs="Arial"/>
                <w:sz w:val="22"/>
                <w:szCs w:val="22"/>
              </w:rPr>
            </w:pPr>
          </w:p>
          <w:p w:rsidR="00DA57FD" w:rsidRPr="00DA57FD" w:rsidRDefault="00DA57FD" w:rsidP="00DA57FD">
            <w:pPr>
              <w:jc w:val="both"/>
              <w:rPr>
                <w:rFonts w:ascii="Bradley Hand ITC" w:hAnsi="Bradley Hand ITC" w:cs="Arial"/>
                <w:sz w:val="22"/>
                <w:szCs w:val="22"/>
              </w:rPr>
            </w:pPr>
            <w:r w:rsidRPr="00DA57FD">
              <w:rPr>
                <w:rFonts w:ascii="Bradley Hand ITC" w:hAnsi="Bradley Hand ITC" w:cs="Arial"/>
                <w:sz w:val="22"/>
                <w:szCs w:val="22"/>
              </w:rPr>
              <w:t>According to a 2015 study Canada has the world’s third-largest oil reserves at approximately 171 billion barrels. Currently, the largest players in the industry based within Canada are Enbridge which generated revenues above USD 33.7 Billion in 2021. Over the past five years industry was adversely affected by both a decline of almost 20% in the value of Canadian currency as well as a fall in global oil prices. (Statista, 2021)</w:t>
            </w:r>
          </w:p>
          <w:p w:rsidR="00DA57FD" w:rsidRPr="00DA57FD" w:rsidRDefault="00DA57FD" w:rsidP="00DA57FD">
            <w:pPr>
              <w:jc w:val="both"/>
              <w:rPr>
                <w:rFonts w:ascii="Bradley Hand ITC" w:hAnsi="Bradley Hand ITC" w:cs="Arial"/>
                <w:sz w:val="22"/>
                <w:szCs w:val="22"/>
              </w:rPr>
            </w:pPr>
            <w:r w:rsidRPr="00DA57FD">
              <w:rPr>
                <w:rFonts w:ascii="Bradley Hand ITC" w:hAnsi="Bradley Hand ITC" w:cs="Arial"/>
                <w:sz w:val="22"/>
                <w:szCs w:val="22"/>
              </w:rPr>
              <w:t xml:space="preserve">Following the overall economic slowdown due to the COVID 19 pandemic, Canada’s oil and gas sectors showed significant recovery by April 2021. Specifically, the industry’s employment and exports were at 95.7% and 102.5% of their corresponding January 2020 levels. The expansion in the Canadian oil and gas industry was in turn a reflection of the overall increase in global oil demand which was expected to recover by 5.5 mb/d to 96.6mb/d in 2021. (Wang, 2021) </w:t>
            </w:r>
          </w:p>
          <w:p w:rsidR="00663859" w:rsidRDefault="00DA57FD" w:rsidP="002E31B7">
            <w:pPr>
              <w:rPr>
                <w:rFonts w:ascii="Bradley Hand ITC" w:hAnsi="Bradley Hand ITC" w:cs="Arial"/>
                <w:sz w:val="22"/>
                <w:szCs w:val="22"/>
              </w:rPr>
            </w:pPr>
            <w:r w:rsidRPr="00DA57FD">
              <w:rPr>
                <w:rFonts w:ascii="Bradley Hand ITC" w:hAnsi="Bradley Hand ITC" w:cs="Arial"/>
                <w:sz w:val="22"/>
                <w:szCs w:val="22"/>
              </w:rPr>
              <w:t>Global oil prices going forward are also expected to increase with recovered demand from lows experienced in 2020. Specifically, global oil markets experienced an increase in prices where Brent rose to $57/bbl and WTI to $53/bbl as a result of higher demand from Europe and Asia along with supply cuts implemented by OPEC. ((IEA, 2021)</w:t>
            </w:r>
          </w:p>
          <w:p w:rsidR="00714CE8" w:rsidRPr="0084245D" w:rsidRDefault="00714CE8" w:rsidP="002E31B7">
            <w:pPr>
              <w:rPr>
                <w:rFonts w:ascii="Bradley Hand ITC" w:hAnsi="Bradley Hand ITC" w:cs="Arial"/>
                <w:sz w:val="22"/>
                <w:szCs w:val="22"/>
              </w:rPr>
            </w:pPr>
          </w:p>
        </w:tc>
      </w:tr>
      <w:tr w:rsidR="00681A9E" w:rsidRPr="0084245D" w:rsidTr="0084245D">
        <w:trPr>
          <w:trHeight w:val="432"/>
        </w:trPr>
        <w:tc>
          <w:tcPr>
            <w:tcW w:w="495" w:type="dxa"/>
            <w:shd w:val="clear" w:color="auto" w:fill="auto"/>
          </w:tcPr>
          <w:p w:rsidR="00681A9E" w:rsidRPr="0084245D" w:rsidRDefault="00681A9E" w:rsidP="00D82DDA">
            <w:pPr>
              <w:rPr>
                <w:rFonts w:ascii="Arial" w:hAnsi="Arial" w:cs="Arial"/>
                <w:sz w:val="20"/>
                <w:szCs w:val="20"/>
              </w:rPr>
            </w:pPr>
            <w:r w:rsidRPr="0084245D">
              <w:rPr>
                <w:rFonts w:ascii="Arial" w:hAnsi="Arial" w:cs="Arial"/>
                <w:sz w:val="20"/>
                <w:szCs w:val="20"/>
              </w:rPr>
              <w:t>2.</w:t>
            </w:r>
          </w:p>
        </w:tc>
        <w:tc>
          <w:tcPr>
            <w:tcW w:w="8361" w:type="dxa"/>
            <w:gridSpan w:val="3"/>
            <w:shd w:val="clear" w:color="auto" w:fill="auto"/>
            <w:vAlign w:val="bottom"/>
          </w:tcPr>
          <w:p w:rsidR="002F1083" w:rsidRPr="0084245D" w:rsidRDefault="002F1083" w:rsidP="002F1083">
            <w:pPr>
              <w:rPr>
                <w:rFonts w:ascii="Arial" w:hAnsi="Arial" w:cs="Arial"/>
                <w:sz w:val="20"/>
                <w:szCs w:val="20"/>
              </w:rPr>
            </w:pPr>
            <w:r w:rsidRPr="0084245D">
              <w:rPr>
                <w:rFonts w:ascii="Arial" w:hAnsi="Arial" w:cs="Arial"/>
                <w:sz w:val="20"/>
                <w:szCs w:val="20"/>
              </w:rPr>
              <w:t xml:space="preserve">Description of technological changes, internationalization of business transactions and </w:t>
            </w:r>
            <w:r w:rsidRPr="0084245D">
              <w:rPr>
                <w:rFonts w:ascii="Arial" w:hAnsi="Arial" w:cs="Arial"/>
                <w:sz w:val="20"/>
                <w:szCs w:val="20"/>
              </w:rPr>
              <w:tab/>
            </w:r>
          </w:p>
          <w:p w:rsidR="00681A9E" w:rsidRPr="0084245D" w:rsidRDefault="002F1083" w:rsidP="002F1083">
            <w:pPr>
              <w:rPr>
                <w:rFonts w:ascii="Arial" w:hAnsi="Arial" w:cs="Arial"/>
                <w:sz w:val="20"/>
                <w:szCs w:val="20"/>
              </w:rPr>
            </w:pPr>
            <w:r w:rsidRPr="0084245D">
              <w:rPr>
                <w:rFonts w:ascii="Arial" w:hAnsi="Arial" w:cs="Arial"/>
                <w:sz w:val="20"/>
                <w:szCs w:val="20"/>
              </w:rPr>
              <w:t>their effects on the market:</w:t>
            </w:r>
          </w:p>
        </w:tc>
      </w:tr>
      <w:tr w:rsidR="002F1083" w:rsidRPr="0084245D" w:rsidTr="0084245D">
        <w:trPr>
          <w:trHeight w:val="432"/>
        </w:trPr>
        <w:tc>
          <w:tcPr>
            <w:tcW w:w="495" w:type="dxa"/>
            <w:shd w:val="clear" w:color="auto" w:fill="auto"/>
            <w:vAlign w:val="bottom"/>
          </w:tcPr>
          <w:p w:rsidR="002F1083" w:rsidRPr="0084245D" w:rsidRDefault="002F1083" w:rsidP="00D82DDA">
            <w:pPr>
              <w:rPr>
                <w:rFonts w:ascii="Arial" w:hAnsi="Arial" w:cs="Arial"/>
                <w:sz w:val="20"/>
                <w:szCs w:val="20"/>
              </w:rPr>
            </w:pPr>
          </w:p>
        </w:tc>
        <w:tc>
          <w:tcPr>
            <w:tcW w:w="8361" w:type="dxa"/>
            <w:gridSpan w:val="3"/>
            <w:shd w:val="clear" w:color="auto" w:fill="auto"/>
            <w:vAlign w:val="bottom"/>
          </w:tcPr>
          <w:p w:rsidR="006D0225" w:rsidRPr="006D0225" w:rsidRDefault="006D0225" w:rsidP="006D0225">
            <w:pPr>
              <w:rPr>
                <w:rFonts w:ascii="Bradley Hand ITC" w:hAnsi="Bradley Hand ITC" w:cs="Arial"/>
                <w:sz w:val="22"/>
                <w:szCs w:val="22"/>
              </w:rPr>
            </w:pPr>
            <w:r w:rsidRPr="006D0225">
              <w:rPr>
                <w:rFonts w:ascii="Bradley Hand ITC" w:hAnsi="Bradley Hand ITC" w:cs="Arial"/>
                <w:sz w:val="22"/>
                <w:szCs w:val="22"/>
              </w:rPr>
              <w:t xml:space="preserve">Much of the innovation and technological changes within the company’s industry are led by the external pressures faced by the industry to not only reduce costs but also the overall negative environmental impacts. For instance, companies operating within Canada’s oil sands are considered global leaders in environmental innovation as well as in the development of new technology. </w:t>
            </w:r>
          </w:p>
          <w:p w:rsidR="006D0225" w:rsidRPr="006D0225" w:rsidRDefault="006D0225" w:rsidP="006D0225">
            <w:pPr>
              <w:rPr>
                <w:rFonts w:ascii="Bradley Hand ITC" w:hAnsi="Bradley Hand ITC" w:cs="Arial"/>
                <w:sz w:val="22"/>
                <w:szCs w:val="22"/>
              </w:rPr>
            </w:pPr>
            <w:r w:rsidRPr="006D0225">
              <w:rPr>
                <w:rFonts w:ascii="Bradley Hand ITC" w:hAnsi="Bradley Hand ITC" w:cs="Arial"/>
                <w:sz w:val="22"/>
                <w:szCs w:val="22"/>
              </w:rPr>
              <w:t xml:space="preserve">Examples of technological innovations to reduce the environmental impact include Carbon Capture and storage (CCS) technology, Partial Upgrading to reduce the need to dilute bitumen when making it suitable for transport using pipelines, Advanced oil sands recovery technologies which effectively reduce the use of steam for in situ bitumen recovery. (CAPP, 2021) </w:t>
            </w:r>
          </w:p>
          <w:p w:rsidR="002F1083" w:rsidRPr="0084245D" w:rsidRDefault="006D0225" w:rsidP="006D0225">
            <w:pPr>
              <w:rPr>
                <w:rFonts w:ascii="Bradley Hand ITC" w:hAnsi="Bradley Hand ITC" w:cs="Arial"/>
                <w:sz w:val="22"/>
                <w:szCs w:val="22"/>
              </w:rPr>
            </w:pPr>
            <w:r w:rsidRPr="006D0225">
              <w:rPr>
                <w:rFonts w:ascii="Bradley Hand ITC" w:hAnsi="Bradley Hand ITC" w:cs="Arial"/>
                <w:sz w:val="22"/>
                <w:szCs w:val="22"/>
              </w:rPr>
              <w:t>In this context, the use of CCS is already prevalent within the larger industry players such as Suncor. Further, there has also been an increase in the use of multilateral drilling technologies aimed at generating greater flexibility in reservoir development. (Smith, 2021)</w:t>
            </w:r>
          </w:p>
        </w:tc>
      </w:tr>
      <w:tr w:rsidR="002F1083" w:rsidRPr="0084245D" w:rsidTr="0084245D">
        <w:trPr>
          <w:trHeight w:val="432"/>
        </w:trPr>
        <w:tc>
          <w:tcPr>
            <w:tcW w:w="495" w:type="dxa"/>
            <w:shd w:val="clear" w:color="auto" w:fill="auto"/>
            <w:vAlign w:val="bottom"/>
          </w:tcPr>
          <w:p w:rsidR="002F1083" w:rsidRPr="0084245D" w:rsidRDefault="002F1083" w:rsidP="00D82DDA">
            <w:pPr>
              <w:rPr>
                <w:rFonts w:ascii="Arial" w:hAnsi="Arial" w:cs="Arial"/>
                <w:sz w:val="20"/>
                <w:szCs w:val="20"/>
              </w:rPr>
            </w:pPr>
            <w:r w:rsidRPr="0084245D">
              <w:rPr>
                <w:rFonts w:ascii="Arial" w:hAnsi="Arial" w:cs="Arial"/>
                <w:sz w:val="20"/>
                <w:szCs w:val="20"/>
              </w:rPr>
              <w:t>3.</w:t>
            </w:r>
          </w:p>
        </w:tc>
        <w:tc>
          <w:tcPr>
            <w:tcW w:w="8361" w:type="dxa"/>
            <w:gridSpan w:val="3"/>
            <w:shd w:val="clear" w:color="auto" w:fill="auto"/>
            <w:vAlign w:val="bottom"/>
          </w:tcPr>
          <w:p w:rsidR="002F1083" w:rsidRPr="0084245D" w:rsidRDefault="002F1083" w:rsidP="00D82DDA">
            <w:pPr>
              <w:rPr>
                <w:rFonts w:ascii="Arial" w:hAnsi="Arial" w:cs="Arial"/>
                <w:b/>
                <w:sz w:val="20"/>
                <w:szCs w:val="20"/>
              </w:rPr>
            </w:pPr>
            <w:r w:rsidRPr="0084245D">
              <w:rPr>
                <w:rFonts w:ascii="Arial" w:hAnsi="Arial" w:cs="Arial"/>
                <w:b/>
                <w:sz w:val="20"/>
                <w:szCs w:val="20"/>
              </w:rPr>
              <w:t>Major competitors:</w:t>
            </w:r>
          </w:p>
        </w:tc>
      </w:tr>
      <w:tr w:rsidR="002F1083" w:rsidRPr="0084245D" w:rsidTr="0084245D">
        <w:trPr>
          <w:trHeight w:val="432"/>
        </w:trPr>
        <w:tc>
          <w:tcPr>
            <w:tcW w:w="495" w:type="dxa"/>
            <w:shd w:val="clear" w:color="auto" w:fill="auto"/>
            <w:vAlign w:val="bottom"/>
          </w:tcPr>
          <w:p w:rsidR="002F1083" w:rsidRPr="0084245D" w:rsidRDefault="002F1083" w:rsidP="00D82DDA">
            <w:pPr>
              <w:rPr>
                <w:rFonts w:ascii="Arial" w:hAnsi="Arial" w:cs="Arial"/>
                <w:sz w:val="20"/>
                <w:szCs w:val="20"/>
              </w:rPr>
            </w:pPr>
          </w:p>
        </w:tc>
        <w:tc>
          <w:tcPr>
            <w:tcW w:w="2787" w:type="dxa"/>
            <w:shd w:val="clear" w:color="auto" w:fill="auto"/>
            <w:vAlign w:val="bottom"/>
          </w:tcPr>
          <w:p w:rsidR="002F1083" w:rsidRPr="00867C3C" w:rsidRDefault="002F1083" w:rsidP="00D82DDA">
            <w:pPr>
              <w:rPr>
                <w:rFonts w:ascii="Arial" w:hAnsi="Arial" w:cs="Arial"/>
                <w:b/>
                <w:sz w:val="20"/>
                <w:szCs w:val="20"/>
              </w:rPr>
            </w:pPr>
            <w:r w:rsidRPr="00867C3C">
              <w:rPr>
                <w:rFonts w:ascii="Arial" w:hAnsi="Arial" w:cs="Arial"/>
                <w:b/>
                <w:sz w:val="20"/>
                <w:szCs w:val="20"/>
              </w:rPr>
              <w:t>Name</w:t>
            </w:r>
          </w:p>
        </w:tc>
        <w:tc>
          <w:tcPr>
            <w:tcW w:w="5574" w:type="dxa"/>
            <w:gridSpan w:val="2"/>
            <w:shd w:val="clear" w:color="auto" w:fill="auto"/>
            <w:vAlign w:val="bottom"/>
          </w:tcPr>
          <w:p w:rsidR="002F1083" w:rsidRPr="00867C3C" w:rsidRDefault="002F1083" w:rsidP="0084245D">
            <w:pPr>
              <w:jc w:val="center"/>
              <w:rPr>
                <w:rFonts w:ascii="Arial" w:hAnsi="Arial" w:cs="Arial"/>
                <w:b/>
                <w:sz w:val="20"/>
                <w:szCs w:val="20"/>
              </w:rPr>
            </w:pPr>
            <w:r w:rsidRPr="00867C3C">
              <w:rPr>
                <w:rFonts w:ascii="Arial" w:hAnsi="Arial" w:cs="Arial"/>
                <w:b/>
                <w:sz w:val="20"/>
                <w:szCs w:val="20"/>
              </w:rPr>
              <w:t>Products or services offered</w:t>
            </w:r>
          </w:p>
        </w:tc>
      </w:tr>
      <w:tr w:rsidR="002F1083" w:rsidRPr="0084245D" w:rsidTr="0084245D">
        <w:trPr>
          <w:trHeight w:val="432"/>
        </w:trPr>
        <w:tc>
          <w:tcPr>
            <w:tcW w:w="495" w:type="dxa"/>
            <w:shd w:val="clear" w:color="auto" w:fill="auto"/>
            <w:vAlign w:val="bottom"/>
          </w:tcPr>
          <w:p w:rsidR="002F1083" w:rsidRPr="0084245D" w:rsidRDefault="002F1083" w:rsidP="00D82DDA">
            <w:pPr>
              <w:rPr>
                <w:rFonts w:ascii="Arial" w:hAnsi="Arial" w:cs="Arial"/>
                <w:sz w:val="20"/>
                <w:szCs w:val="20"/>
              </w:rPr>
            </w:pPr>
          </w:p>
        </w:tc>
        <w:tc>
          <w:tcPr>
            <w:tcW w:w="2787" w:type="dxa"/>
            <w:shd w:val="clear" w:color="auto" w:fill="auto"/>
            <w:vAlign w:val="bottom"/>
          </w:tcPr>
          <w:p w:rsidR="002F1083" w:rsidRPr="00A90D1C" w:rsidRDefault="00A90D1C" w:rsidP="00D82DDA">
            <w:pPr>
              <w:rPr>
                <w:rFonts w:ascii="Bradley Hand ITC" w:hAnsi="Bradley Hand ITC" w:cs="Arial"/>
                <w:sz w:val="22"/>
                <w:szCs w:val="22"/>
              </w:rPr>
            </w:pPr>
            <w:r w:rsidRPr="00A90D1C">
              <w:rPr>
                <w:rFonts w:ascii="Bradley Hand ITC" w:hAnsi="Bradley Hand ITC" w:cs="Arial"/>
                <w:sz w:val="22"/>
                <w:szCs w:val="22"/>
              </w:rPr>
              <w:t>Imperial Oil Resources Limited</w:t>
            </w:r>
          </w:p>
        </w:tc>
        <w:tc>
          <w:tcPr>
            <w:tcW w:w="5574" w:type="dxa"/>
            <w:gridSpan w:val="2"/>
            <w:shd w:val="clear" w:color="auto" w:fill="auto"/>
            <w:vAlign w:val="bottom"/>
          </w:tcPr>
          <w:p w:rsidR="002F1083" w:rsidRPr="0084245D" w:rsidRDefault="00A90D1C" w:rsidP="002F1083">
            <w:pPr>
              <w:rPr>
                <w:rFonts w:ascii="Arial" w:hAnsi="Arial" w:cs="Arial"/>
                <w:sz w:val="20"/>
                <w:szCs w:val="20"/>
              </w:rPr>
            </w:pPr>
            <w:r>
              <w:rPr>
                <w:rFonts w:ascii="Bradley Hand ITC" w:hAnsi="Bradley Hand ITC" w:cs="Arial"/>
                <w:sz w:val="22"/>
                <w:szCs w:val="22"/>
              </w:rPr>
              <w:t>O</w:t>
            </w:r>
            <w:r w:rsidRPr="00A90D1C">
              <w:rPr>
                <w:rFonts w:ascii="Bradley Hand ITC" w:hAnsi="Bradley Hand ITC" w:cs="Arial"/>
                <w:sz w:val="22"/>
                <w:szCs w:val="22"/>
              </w:rPr>
              <w:t>il &amp; gas extraction</w:t>
            </w:r>
          </w:p>
        </w:tc>
      </w:tr>
      <w:tr w:rsidR="00A90D1C" w:rsidRPr="0084245D" w:rsidTr="0084245D">
        <w:trPr>
          <w:trHeight w:val="432"/>
        </w:trPr>
        <w:tc>
          <w:tcPr>
            <w:tcW w:w="495" w:type="dxa"/>
            <w:shd w:val="clear" w:color="auto" w:fill="auto"/>
            <w:vAlign w:val="bottom"/>
          </w:tcPr>
          <w:p w:rsidR="00A90D1C" w:rsidRPr="0084245D" w:rsidRDefault="00A90D1C" w:rsidP="00D82DDA">
            <w:pPr>
              <w:rPr>
                <w:rFonts w:ascii="Arial" w:hAnsi="Arial" w:cs="Arial"/>
                <w:sz w:val="20"/>
                <w:szCs w:val="20"/>
              </w:rPr>
            </w:pPr>
          </w:p>
        </w:tc>
        <w:tc>
          <w:tcPr>
            <w:tcW w:w="2787" w:type="dxa"/>
            <w:shd w:val="clear" w:color="auto" w:fill="auto"/>
            <w:vAlign w:val="bottom"/>
          </w:tcPr>
          <w:p w:rsidR="00A90D1C" w:rsidRPr="00A90D1C" w:rsidRDefault="00A90D1C" w:rsidP="00D82DDA">
            <w:pPr>
              <w:rPr>
                <w:rFonts w:ascii="Bradley Hand ITC" w:hAnsi="Bradley Hand ITC" w:cs="Arial"/>
                <w:sz w:val="22"/>
                <w:szCs w:val="22"/>
              </w:rPr>
            </w:pPr>
            <w:r w:rsidRPr="00A90D1C">
              <w:rPr>
                <w:rFonts w:ascii="Bradley Hand ITC" w:hAnsi="Bradley Hand ITC" w:cs="Arial"/>
                <w:sz w:val="22"/>
                <w:szCs w:val="22"/>
              </w:rPr>
              <w:t>Suncor Energy Inc</w:t>
            </w:r>
          </w:p>
        </w:tc>
        <w:tc>
          <w:tcPr>
            <w:tcW w:w="5574" w:type="dxa"/>
            <w:gridSpan w:val="2"/>
            <w:shd w:val="clear" w:color="auto" w:fill="auto"/>
            <w:vAlign w:val="bottom"/>
          </w:tcPr>
          <w:p w:rsidR="00A90D1C" w:rsidRPr="0084245D" w:rsidRDefault="00A90D1C" w:rsidP="002F1083">
            <w:pPr>
              <w:rPr>
                <w:rFonts w:ascii="Arial" w:hAnsi="Arial" w:cs="Arial"/>
                <w:sz w:val="20"/>
                <w:szCs w:val="20"/>
              </w:rPr>
            </w:pPr>
            <w:r>
              <w:rPr>
                <w:rFonts w:ascii="Bradley Hand ITC" w:hAnsi="Bradley Hand ITC" w:cs="Arial"/>
                <w:sz w:val="22"/>
                <w:szCs w:val="22"/>
              </w:rPr>
              <w:t>O</w:t>
            </w:r>
            <w:r w:rsidRPr="00A90D1C">
              <w:rPr>
                <w:rFonts w:ascii="Bradley Hand ITC" w:hAnsi="Bradley Hand ITC" w:cs="Arial"/>
                <w:sz w:val="22"/>
                <w:szCs w:val="22"/>
              </w:rPr>
              <w:t>il &amp; gas extraction</w:t>
            </w:r>
          </w:p>
        </w:tc>
      </w:tr>
      <w:tr w:rsidR="00A90D1C" w:rsidRPr="0084245D" w:rsidTr="0084245D">
        <w:trPr>
          <w:trHeight w:val="432"/>
        </w:trPr>
        <w:tc>
          <w:tcPr>
            <w:tcW w:w="495" w:type="dxa"/>
            <w:shd w:val="clear" w:color="auto" w:fill="auto"/>
            <w:vAlign w:val="bottom"/>
          </w:tcPr>
          <w:p w:rsidR="00A90D1C" w:rsidRPr="0084245D" w:rsidRDefault="00A90D1C" w:rsidP="00D82DDA">
            <w:pPr>
              <w:rPr>
                <w:rFonts w:ascii="Arial" w:hAnsi="Arial" w:cs="Arial"/>
                <w:sz w:val="20"/>
                <w:szCs w:val="20"/>
              </w:rPr>
            </w:pPr>
          </w:p>
        </w:tc>
        <w:tc>
          <w:tcPr>
            <w:tcW w:w="2787" w:type="dxa"/>
            <w:shd w:val="clear" w:color="auto" w:fill="auto"/>
            <w:vAlign w:val="bottom"/>
          </w:tcPr>
          <w:p w:rsidR="00A90D1C" w:rsidRPr="00A90D1C" w:rsidRDefault="00A90D1C" w:rsidP="00D82DDA">
            <w:pPr>
              <w:rPr>
                <w:rFonts w:ascii="Bradley Hand ITC" w:hAnsi="Bradley Hand ITC" w:cs="Arial"/>
                <w:sz w:val="22"/>
                <w:szCs w:val="22"/>
              </w:rPr>
            </w:pPr>
            <w:r w:rsidRPr="00A90D1C">
              <w:rPr>
                <w:rFonts w:ascii="Bradley Hand ITC" w:hAnsi="Bradley Hand ITC" w:cs="Arial"/>
                <w:sz w:val="22"/>
                <w:szCs w:val="22"/>
              </w:rPr>
              <w:t>Shell Canada Limited</w:t>
            </w:r>
          </w:p>
        </w:tc>
        <w:tc>
          <w:tcPr>
            <w:tcW w:w="5574" w:type="dxa"/>
            <w:gridSpan w:val="2"/>
            <w:shd w:val="clear" w:color="auto" w:fill="auto"/>
            <w:vAlign w:val="bottom"/>
          </w:tcPr>
          <w:p w:rsidR="00A90D1C" w:rsidRPr="0084245D" w:rsidRDefault="00A90D1C" w:rsidP="002F1083">
            <w:pPr>
              <w:rPr>
                <w:rFonts w:ascii="Arial" w:hAnsi="Arial" w:cs="Arial"/>
                <w:sz w:val="20"/>
                <w:szCs w:val="20"/>
              </w:rPr>
            </w:pPr>
            <w:r>
              <w:rPr>
                <w:rFonts w:ascii="Bradley Hand ITC" w:hAnsi="Bradley Hand ITC" w:cs="Arial"/>
                <w:sz w:val="22"/>
                <w:szCs w:val="22"/>
              </w:rPr>
              <w:t>O</w:t>
            </w:r>
            <w:r w:rsidRPr="00A90D1C">
              <w:rPr>
                <w:rFonts w:ascii="Bradley Hand ITC" w:hAnsi="Bradley Hand ITC" w:cs="Arial"/>
                <w:sz w:val="22"/>
                <w:szCs w:val="22"/>
              </w:rPr>
              <w:t>il &amp; gas extraction</w:t>
            </w:r>
          </w:p>
        </w:tc>
      </w:tr>
      <w:tr w:rsidR="00681A9E" w:rsidRPr="0084245D" w:rsidTr="0084245D">
        <w:trPr>
          <w:trHeight w:val="432"/>
        </w:trPr>
        <w:tc>
          <w:tcPr>
            <w:tcW w:w="495" w:type="dxa"/>
            <w:shd w:val="clear" w:color="auto" w:fill="auto"/>
            <w:vAlign w:val="bottom"/>
          </w:tcPr>
          <w:p w:rsidR="00681A9E" w:rsidRPr="0084245D" w:rsidRDefault="00681A9E" w:rsidP="00D82DDA">
            <w:pPr>
              <w:rPr>
                <w:rFonts w:ascii="Arial" w:hAnsi="Arial" w:cs="Arial"/>
                <w:sz w:val="20"/>
                <w:szCs w:val="20"/>
              </w:rPr>
            </w:pPr>
          </w:p>
        </w:tc>
        <w:tc>
          <w:tcPr>
            <w:tcW w:w="8361" w:type="dxa"/>
            <w:gridSpan w:val="3"/>
            <w:shd w:val="clear" w:color="auto" w:fill="auto"/>
            <w:vAlign w:val="bottom"/>
          </w:tcPr>
          <w:p w:rsidR="00681A9E" w:rsidRPr="0084245D" w:rsidRDefault="00A90D1C" w:rsidP="00D82DDA">
            <w:pPr>
              <w:rPr>
                <w:rFonts w:ascii="Arial" w:hAnsi="Arial" w:cs="Arial"/>
                <w:sz w:val="20"/>
                <w:szCs w:val="20"/>
              </w:rPr>
            </w:pPr>
            <w:r w:rsidRPr="00A90D1C">
              <w:rPr>
                <w:rFonts w:ascii="Bradley Hand ITC" w:hAnsi="Bradley Hand ITC" w:cs="Arial"/>
                <w:sz w:val="22"/>
                <w:szCs w:val="22"/>
              </w:rPr>
              <w:t>Top three oil &amp; gas extraction companies operating within Alberta, Canada in terms of revenue are presented above. (DNB, 2021)</w:t>
            </w:r>
          </w:p>
        </w:tc>
      </w:tr>
      <w:tr w:rsidR="00681A9E" w:rsidRPr="0084245D" w:rsidTr="0084245D">
        <w:trPr>
          <w:trHeight w:val="432"/>
        </w:trPr>
        <w:tc>
          <w:tcPr>
            <w:tcW w:w="495" w:type="dxa"/>
            <w:shd w:val="clear" w:color="auto" w:fill="auto"/>
            <w:vAlign w:val="bottom"/>
          </w:tcPr>
          <w:p w:rsidR="00681A9E" w:rsidRPr="0084245D" w:rsidRDefault="00681A9E" w:rsidP="00D82DDA">
            <w:pPr>
              <w:rPr>
                <w:rFonts w:ascii="Arial" w:hAnsi="Arial" w:cs="Arial"/>
                <w:sz w:val="20"/>
                <w:szCs w:val="20"/>
              </w:rPr>
            </w:pPr>
            <w:r w:rsidRPr="0084245D">
              <w:rPr>
                <w:rFonts w:ascii="Arial" w:hAnsi="Arial" w:cs="Arial"/>
                <w:sz w:val="20"/>
                <w:szCs w:val="20"/>
              </w:rPr>
              <w:t>4.</w:t>
            </w:r>
          </w:p>
        </w:tc>
        <w:tc>
          <w:tcPr>
            <w:tcW w:w="8361" w:type="dxa"/>
            <w:gridSpan w:val="3"/>
            <w:shd w:val="clear" w:color="auto" w:fill="auto"/>
            <w:vAlign w:val="bottom"/>
          </w:tcPr>
          <w:p w:rsidR="00681A9E" w:rsidRPr="0084245D" w:rsidRDefault="00681A9E" w:rsidP="00D82DDA">
            <w:pPr>
              <w:rPr>
                <w:rFonts w:ascii="Arial" w:hAnsi="Arial" w:cs="Arial"/>
                <w:b/>
                <w:sz w:val="20"/>
                <w:szCs w:val="20"/>
              </w:rPr>
            </w:pPr>
            <w:r w:rsidRPr="0084245D">
              <w:rPr>
                <w:rFonts w:ascii="Arial" w:hAnsi="Arial" w:cs="Arial"/>
                <w:b/>
                <w:sz w:val="20"/>
                <w:szCs w:val="20"/>
              </w:rPr>
              <w:t>Financial statement users and reporting requirements:</w:t>
            </w:r>
          </w:p>
        </w:tc>
      </w:tr>
      <w:tr w:rsidR="00897A07" w:rsidRPr="0084245D" w:rsidTr="0084245D">
        <w:trPr>
          <w:trHeight w:val="432"/>
        </w:trPr>
        <w:tc>
          <w:tcPr>
            <w:tcW w:w="495" w:type="dxa"/>
            <w:shd w:val="clear" w:color="auto" w:fill="auto"/>
            <w:vAlign w:val="bottom"/>
          </w:tcPr>
          <w:p w:rsidR="00897A07" w:rsidRPr="0084245D" w:rsidRDefault="00897A07" w:rsidP="00D82DDA">
            <w:pPr>
              <w:rPr>
                <w:rFonts w:ascii="Arial" w:hAnsi="Arial" w:cs="Arial"/>
                <w:sz w:val="20"/>
                <w:szCs w:val="20"/>
              </w:rPr>
            </w:pPr>
          </w:p>
        </w:tc>
        <w:tc>
          <w:tcPr>
            <w:tcW w:w="8361" w:type="dxa"/>
            <w:gridSpan w:val="3"/>
            <w:shd w:val="clear" w:color="auto" w:fill="auto"/>
            <w:vAlign w:val="center"/>
          </w:tcPr>
          <w:p w:rsidR="007419D1" w:rsidRPr="007419D1" w:rsidRDefault="007419D1" w:rsidP="007419D1">
            <w:pPr>
              <w:rPr>
                <w:rFonts w:ascii="Bradley Hand ITC" w:hAnsi="Bradley Hand ITC" w:cs="Arial"/>
                <w:sz w:val="20"/>
                <w:szCs w:val="20"/>
              </w:rPr>
            </w:pPr>
            <w:r w:rsidRPr="007419D1">
              <w:rPr>
                <w:rFonts w:ascii="Bradley Hand ITC" w:hAnsi="Bradley Hand ITC" w:cs="Arial"/>
                <w:sz w:val="20"/>
                <w:szCs w:val="20"/>
              </w:rPr>
              <w:t>Given that the company aims to attain listing by merging with a dormant listing following which the company plans to raise funds using a secondary offering. In this context, once the company attains listed status it will need to satisfy the following periodic reporting requirements Quarterly financial statements and interim MD&amp;A, Annual financial statements, and annual MD&amp;A, Annual report, Annual Information Form along with CEO and CFO Certification. (TSX, 2021)</w:t>
            </w:r>
          </w:p>
          <w:p w:rsidR="00897A07" w:rsidRPr="0084245D" w:rsidRDefault="007419D1" w:rsidP="007419D1">
            <w:pPr>
              <w:rPr>
                <w:rFonts w:ascii="Bradley Hand ITC" w:hAnsi="Bradley Hand ITC" w:cs="Arial"/>
                <w:sz w:val="20"/>
                <w:szCs w:val="20"/>
              </w:rPr>
            </w:pPr>
            <w:r w:rsidRPr="007419D1">
              <w:rPr>
                <w:rFonts w:ascii="Bradley Hand ITC" w:hAnsi="Bradley Hand ITC" w:cs="Arial"/>
                <w:sz w:val="20"/>
                <w:szCs w:val="20"/>
              </w:rPr>
              <w:t xml:space="preserve">The users of the company’s financial statements will include stakeholders such as potential investors, shareholders, debt holders, tax authorities, industry analysts, company management, and employees.  </w:t>
            </w:r>
          </w:p>
        </w:tc>
      </w:tr>
      <w:tr w:rsidR="00897A07" w:rsidRPr="0084245D" w:rsidTr="0084245D">
        <w:trPr>
          <w:trHeight w:val="432"/>
        </w:trPr>
        <w:tc>
          <w:tcPr>
            <w:tcW w:w="495" w:type="dxa"/>
            <w:shd w:val="clear" w:color="auto" w:fill="auto"/>
            <w:vAlign w:val="bottom"/>
          </w:tcPr>
          <w:p w:rsidR="00897A07" w:rsidRPr="0084245D" w:rsidRDefault="00897A07" w:rsidP="00D82DDA">
            <w:pPr>
              <w:rPr>
                <w:rFonts w:ascii="Arial" w:hAnsi="Arial" w:cs="Arial"/>
                <w:sz w:val="20"/>
                <w:szCs w:val="20"/>
              </w:rPr>
            </w:pPr>
            <w:r w:rsidRPr="0084245D">
              <w:rPr>
                <w:rFonts w:ascii="Arial" w:hAnsi="Arial" w:cs="Arial"/>
                <w:sz w:val="20"/>
                <w:szCs w:val="20"/>
              </w:rPr>
              <w:t>5.</w:t>
            </w:r>
          </w:p>
        </w:tc>
        <w:tc>
          <w:tcPr>
            <w:tcW w:w="8361" w:type="dxa"/>
            <w:gridSpan w:val="3"/>
            <w:shd w:val="clear" w:color="auto" w:fill="auto"/>
            <w:vAlign w:val="bottom"/>
          </w:tcPr>
          <w:p w:rsidR="00897A07" w:rsidRPr="0084245D" w:rsidRDefault="00897A07" w:rsidP="00D82DDA">
            <w:pPr>
              <w:rPr>
                <w:rFonts w:ascii="Arial" w:hAnsi="Arial" w:cs="Arial"/>
                <w:b/>
                <w:sz w:val="20"/>
                <w:szCs w:val="20"/>
              </w:rPr>
            </w:pPr>
            <w:r w:rsidRPr="0084245D">
              <w:rPr>
                <w:rFonts w:ascii="Arial" w:hAnsi="Arial" w:cs="Arial"/>
                <w:b/>
                <w:sz w:val="20"/>
                <w:szCs w:val="20"/>
              </w:rPr>
              <w:t>Specific knowledge required of the audit team:</w:t>
            </w:r>
          </w:p>
        </w:tc>
      </w:tr>
      <w:tr w:rsidR="00897A07" w:rsidRPr="0084245D" w:rsidTr="00330AE0">
        <w:trPr>
          <w:trHeight w:val="432"/>
        </w:trPr>
        <w:tc>
          <w:tcPr>
            <w:tcW w:w="495" w:type="dxa"/>
            <w:shd w:val="clear" w:color="auto" w:fill="auto"/>
            <w:vAlign w:val="bottom"/>
          </w:tcPr>
          <w:p w:rsidR="00897A07" w:rsidRPr="0084245D" w:rsidRDefault="00897A07" w:rsidP="00D82DDA">
            <w:pPr>
              <w:rPr>
                <w:rFonts w:ascii="Arial" w:hAnsi="Arial" w:cs="Arial"/>
                <w:sz w:val="20"/>
                <w:szCs w:val="20"/>
              </w:rPr>
            </w:pPr>
          </w:p>
        </w:tc>
        <w:tc>
          <w:tcPr>
            <w:tcW w:w="3753" w:type="dxa"/>
            <w:gridSpan w:val="2"/>
            <w:shd w:val="clear" w:color="auto" w:fill="auto"/>
            <w:vAlign w:val="bottom"/>
          </w:tcPr>
          <w:p w:rsidR="00897A07" w:rsidRPr="00330AE0" w:rsidRDefault="00897A07" w:rsidP="00D82DDA">
            <w:pPr>
              <w:rPr>
                <w:rFonts w:ascii="Arial" w:hAnsi="Arial" w:cs="Arial"/>
                <w:b/>
                <w:sz w:val="20"/>
                <w:szCs w:val="20"/>
              </w:rPr>
            </w:pPr>
            <w:r w:rsidRPr="00330AE0">
              <w:rPr>
                <w:rFonts w:ascii="Arial" w:hAnsi="Arial" w:cs="Arial"/>
                <w:b/>
                <w:sz w:val="20"/>
                <w:szCs w:val="20"/>
              </w:rPr>
              <w:t>Type of knowledge</w:t>
            </w:r>
          </w:p>
        </w:tc>
        <w:tc>
          <w:tcPr>
            <w:tcW w:w="4608" w:type="dxa"/>
            <w:shd w:val="clear" w:color="auto" w:fill="auto"/>
            <w:vAlign w:val="bottom"/>
          </w:tcPr>
          <w:p w:rsidR="00897A07" w:rsidRPr="00330AE0" w:rsidRDefault="00897A07" w:rsidP="00D82DDA">
            <w:pPr>
              <w:rPr>
                <w:rFonts w:ascii="Arial" w:hAnsi="Arial" w:cs="Arial"/>
                <w:b/>
                <w:sz w:val="20"/>
                <w:szCs w:val="20"/>
              </w:rPr>
            </w:pPr>
            <w:r w:rsidRPr="00330AE0">
              <w:rPr>
                <w:rFonts w:ascii="Arial" w:hAnsi="Arial" w:cs="Arial"/>
                <w:b/>
                <w:sz w:val="20"/>
                <w:szCs w:val="20"/>
              </w:rPr>
              <w:t>Description</w:t>
            </w:r>
          </w:p>
        </w:tc>
      </w:tr>
      <w:tr w:rsidR="00897A07" w:rsidRPr="0084245D" w:rsidTr="00330AE0">
        <w:trPr>
          <w:trHeight w:val="432"/>
        </w:trPr>
        <w:tc>
          <w:tcPr>
            <w:tcW w:w="495" w:type="dxa"/>
            <w:shd w:val="clear" w:color="auto" w:fill="auto"/>
            <w:vAlign w:val="bottom"/>
          </w:tcPr>
          <w:p w:rsidR="00897A07" w:rsidRPr="0084245D" w:rsidRDefault="00897A07" w:rsidP="00D82DDA">
            <w:pPr>
              <w:rPr>
                <w:rFonts w:ascii="Arial" w:hAnsi="Arial" w:cs="Arial"/>
                <w:sz w:val="20"/>
                <w:szCs w:val="20"/>
              </w:rPr>
            </w:pPr>
          </w:p>
        </w:tc>
        <w:tc>
          <w:tcPr>
            <w:tcW w:w="3753" w:type="dxa"/>
            <w:gridSpan w:val="2"/>
            <w:shd w:val="clear" w:color="auto" w:fill="auto"/>
            <w:vAlign w:val="bottom"/>
          </w:tcPr>
          <w:p w:rsidR="00897A07" w:rsidRPr="0084245D" w:rsidRDefault="00897A07" w:rsidP="00D82DDA">
            <w:pPr>
              <w:rPr>
                <w:rFonts w:ascii="Arial" w:hAnsi="Arial" w:cs="Arial"/>
                <w:sz w:val="20"/>
                <w:szCs w:val="20"/>
              </w:rPr>
            </w:pPr>
            <w:r w:rsidRPr="0084245D">
              <w:rPr>
                <w:rFonts w:ascii="Arial" w:hAnsi="Arial" w:cs="Arial"/>
                <w:sz w:val="20"/>
                <w:szCs w:val="20"/>
              </w:rPr>
              <w:t>Canadian accounting standards</w:t>
            </w:r>
          </w:p>
        </w:tc>
        <w:tc>
          <w:tcPr>
            <w:tcW w:w="4608" w:type="dxa"/>
            <w:shd w:val="clear" w:color="auto" w:fill="auto"/>
            <w:vAlign w:val="center"/>
          </w:tcPr>
          <w:p w:rsidR="00897A07" w:rsidRPr="0084245D" w:rsidRDefault="00582348" w:rsidP="00582348">
            <w:pPr>
              <w:rPr>
                <w:rFonts w:ascii="Bradley Hand ITC" w:hAnsi="Bradley Hand ITC" w:cs="Arial"/>
                <w:sz w:val="20"/>
                <w:szCs w:val="20"/>
              </w:rPr>
            </w:pPr>
            <w:r>
              <w:rPr>
                <w:rFonts w:ascii="Bradley Hand ITC" w:hAnsi="Bradley Hand ITC" w:cs="Arial"/>
                <w:sz w:val="20"/>
                <w:szCs w:val="20"/>
              </w:rPr>
              <w:t xml:space="preserve">Specific knowledge of International Financial Reporting Standards will be required which were adopted by </w:t>
            </w:r>
            <w:r w:rsidRPr="00582348">
              <w:rPr>
                <w:rFonts w:ascii="Bradley Hand ITC" w:hAnsi="Bradley Hand ITC" w:cs="Arial"/>
                <w:sz w:val="20"/>
                <w:szCs w:val="20"/>
              </w:rPr>
              <w:t xml:space="preserve">Accounting Standards Board </w:t>
            </w:r>
            <w:r>
              <w:rPr>
                <w:rFonts w:ascii="Bradley Hand ITC" w:hAnsi="Bradley Hand ITC" w:cs="Arial"/>
                <w:sz w:val="20"/>
                <w:szCs w:val="20"/>
              </w:rPr>
              <w:t xml:space="preserve">for all </w:t>
            </w:r>
            <w:r w:rsidRPr="00582348">
              <w:rPr>
                <w:rFonts w:ascii="Bradley Hand ITC" w:hAnsi="Bradley Hand ITC" w:cs="Arial"/>
                <w:sz w:val="20"/>
                <w:szCs w:val="20"/>
              </w:rPr>
              <w:t>publicly accountable enterprises</w:t>
            </w:r>
            <w:r>
              <w:rPr>
                <w:rFonts w:ascii="Bradley Hand ITC" w:hAnsi="Bradley Hand ITC" w:cs="Arial"/>
                <w:sz w:val="20"/>
                <w:szCs w:val="20"/>
              </w:rPr>
              <w:t>.</w:t>
            </w:r>
          </w:p>
        </w:tc>
      </w:tr>
      <w:tr w:rsidR="00897A07" w:rsidRPr="0084245D" w:rsidTr="00330AE0">
        <w:trPr>
          <w:trHeight w:val="432"/>
        </w:trPr>
        <w:tc>
          <w:tcPr>
            <w:tcW w:w="495" w:type="dxa"/>
            <w:shd w:val="clear" w:color="auto" w:fill="auto"/>
            <w:vAlign w:val="bottom"/>
          </w:tcPr>
          <w:p w:rsidR="00897A07" w:rsidRPr="0084245D" w:rsidRDefault="00897A07" w:rsidP="00D82DDA">
            <w:pPr>
              <w:rPr>
                <w:rFonts w:ascii="Arial" w:hAnsi="Arial" w:cs="Arial"/>
                <w:sz w:val="20"/>
                <w:szCs w:val="20"/>
              </w:rPr>
            </w:pPr>
          </w:p>
        </w:tc>
        <w:tc>
          <w:tcPr>
            <w:tcW w:w="3753" w:type="dxa"/>
            <w:gridSpan w:val="2"/>
            <w:shd w:val="clear" w:color="auto" w:fill="auto"/>
            <w:vAlign w:val="bottom"/>
          </w:tcPr>
          <w:p w:rsidR="00897A07" w:rsidRPr="0084245D" w:rsidRDefault="00897A07" w:rsidP="00D82DDA">
            <w:pPr>
              <w:rPr>
                <w:rFonts w:ascii="Arial" w:hAnsi="Arial" w:cs="Arial"/>
                <w:sz w:val="20"/>
                <w:szCs w:val="20"/>
              </w:rPr>
            </w:pPr>
            <w:r w:rsidRPr="0084245D">
              <w:rPr>
                <w:rFonts w:ascii="Arial" w:hAnsi="Arial" w:cs="Arial"/>
                <w:sz w:val="20"/>
                <w:szCs w:val="20"/>
              </w:rPr>
              <w:t>US accounting standards</w:t>
            </w:r>
          </w:p>
        </w:tc>
        <w:tc>
          <w:tcPr>
            <w:tcW w:w="4608" w:type="dxa"/>
            <w:shd w:val="clear" w:color="auto" w:fill="auto"/>
            <w:vAlign w:val="bottom"/>
          </w:tcPr>
          <w:p w:rsidR="00897A07" w:rsidRPr="0084245D" w:rsidRDefault="00282F02" w:rsidP="00282F02">
            <w:pPr>
              <w:rPr>
                <w:rFonts w:ascii="Arial" w:hAnsi="Arial" w:cs="Arial"/>
                <w:sz w:val="20"/>
                <w:szCs w:val="20"/>
              </w:rPr>
            </w:pPr>
            <w:r w:rsidRPr="00282F02">
              <w:rPr>
                <w:rFonts w:ascii="Bradley Hand ITC" w:hAnsi="Bradley Hand ITC" w:cs="Arial"/>
                <w:sz w:val="20"/>
                <w:szCs w:val="20"/>
              </w:rPr>
              <w:t>Given that the company will be listed in Canada GAAP compliance / knowledge is not required.</w:t>
            </w:r>
            <w:r>
              <w:rPr>
                <w:rFonts w:ascii="Arial" w:hAnsi="Arial" w:cs="Arial"/>
                <w:sz w:val="20"/>
                <w:szCs w:val="20"/>
              </w:rPr>
              <w:t xml:space="preserve"> </w:t>
            </w:r>
          </w:p>
        </w:tc>
      </w:tr>
      <w:tr w:rsidR="00897A07" w:rsidRPr="0084245D" w:rsidTr="00330AE0">
        <w:trPr>
          <w:trHeight w:val="432"/>
        </w:trPr>
        <w:tc>
          <w:tcPr>
            <w:tcW w:w="495" w:type="dxa"/>
            <w:shd w:val="clear" w:color="auto" w:fill="auto"/>
            <w:vAlign w:val="bottom"/>
          </w:tcPr>
          <w:p w:rsidR="00897A07" w:rsidRPr="0084245D" w:rsidRDefault="00897A07" w:rsidP="00D82DDA">
            <w:pPr>
              <w:rPr>
                <w:rFonts w:ascii="Arial" w:hAnsi="Arial" w:cs="Arial"/>
                <w:sz w:val="20"/>
                <w:szCs w:val="20"/>
              </w:rPr>
            </w:pPr>
          </w:p>
        </w:tc>
        <w:tc>
          <w:tcPr>
            <w:tcW w:w="3753" w:type="dxa"/>
            <w:gridSpan w:val="2"/>
            <w:shd w:val="clear" w:color="auto" w:fill="auto"/>
            <w:vAlign w:val="bottom"/>
          </w:tcPr>
          <w:p w:rsidR="00897A07" w:rsidRPr="0084245D" w:rsidRDefault="00897A07" w:rsidP="00D82DDA">
            <w:pPr>
              <w:rPr>
                <w:rFonts w:ascii="Arial" w:hAnsi="Arial" w:cs="Arial"/>
                <w:sz w:val="20"/>
                <w:szCs w:val="20"/>
              </w:rPr>
            </w:pPr>
            <w:r w:rsidRPr="0084245D">
              <w:rPr>
                <w:rFonts w:ascii="Arial" w:hAnsi="Arial" w:cs="Arial"/>
                <w:sz w:val="20"/>
                <w:szCs w:val="20"/>
              </w:rPr>
              <w:t>Other accounting standards</w:t>
            </w:r>
            <w:r w:rsidRPr="0084245D">
              <w:rPr>
                <w:rFonts w:ascii="Arial" w:hAnsi="Arial" w:cs="Arial"/>
                <w:sz w:val="20"/>
                <w:szCs w:val="20"/>
              </w:rPr>
              <w:tab/>
            </w:r>
          </w:p>
        </w:tc>
        <w:tc>
          <w:tcPr>
            <w:tcW w:w="4608" w:type="dxa"/>
            <w:shd w:val="clear" w:color="auto" w:fill="auto"/>
            <w:vAlign w:val="bottom"/>
          </w:tcPr>
          <w:p w:rsidR="00897A07" w:rsidRPr="0084245D" w:rsidRDefault="00282F02" w:rsidP="00D82DDA">
            <w:pPr>
              <w:rPr>
                <w:rFonts w:ascii="Arial" w:hAnsi="Arial" w:cs="Arial"/>
                <w:sz w:val="20"/>
                <w:szCs w:val="20"/>
              </w:rPr>
            </w:pPr>
            <w:r w:rsidRPr="00282F02">
              <w:rPr>
                <w:rFonts w:ascii="Bradley Hand ITC" w:hAnsi="Bradley Hand ITC" w:cs="Arial"/>
                <w:sz w:val="20"/>
                <w:szCs w:val="20"/>
              </w:rPr>
              <w:t>N/A</w:t>
            </w:r>
          </w:p>
        </w:tc>
      </w:tr>
      <w:tr w:rsidR="00897A07" w:rsidRPr="0084245D" w:rsidTr="00330AE0">
        <w:trPr>
          <w:trHeight w:val="432"/>
        </w:trPr>
        <w:tc>
          <w:tcPr>
            <w:tcW w:w="495" w:type="dxa"/>
            <w:shd w:val="clear" w:color="auto" w:fill="auto"/>
            <w:vAlign w:val="bottom"/>
          </w:tcPr>
          <w:p w:rsidR="00897A07" w:rsidRPr="0084245D" w:rsidRDefault="00897A07" w:rsidP="00D82DDA">
            <w:pPr>
              <w:rPr>
                <w:rFonts w:ascii="Arial" w:hAnsi="Arial" w:cs="Arial"/>
                <w:sz w:val="20"/>
                <w:szCs w:val="20"/>
              </w:rPr>
            </w:pPr>
          </w:p>
        </w:tc>
        <w:tc>
          <w:tcPr>
            <w:tcW w:w="3753" w:type="dxa"/>
            <w:gridSpan w:val="2"/>
            <w:shd w:val="clear" w:color="auto" w:fill="auto"/>
            <w:vAlign w:val="bottom"/>
          </w:tcPr>
          <w:p w:rsidR="00897A07" w:rsidRPr="0084245D" w:rsidRDefault="00897A07" w:rsidP="00D82DDA">
            <w:pPr>
              <w:rPr>
                <w:rFonts w:ascii="Arial" w:hAnsi="Arial" w:cs="Arial"/>
                <w:sz w:val="20"/>
                <w:szCs w:val="20"/>
              </w:rPr>
            </w:pPr>
            <w:r w:rsidRPr="0084245D">
              <w:rPr>
                <w:rFonts w:ascii="Arial" w:hAnsi="Arial" w:cs="Arial"/>
                <w:sz w:val="20"/>
                <w:szCs w:val="20"/>
              </w:rPr>
              <w:t>Specific industry guidance</w:t>
            </w:r>
          </w:p>
        </w:tc>
        <w:tc>
          <w:tcPr>
            <w:tcW w:w="4608" w:type="dxa"/>
            <w:shd w:val="clear" w:color="auto" w:fill="auto"/>
            <w:vAlign w:val="center"/>
          </w:tcPr>
          <w:p w:rsidR="00027BC6" w:rsidRDefault="00027BC6" w:rsidP="008455F2">
            <w:pPr>
              <w:rPr>
                <w:rFonts w:ascii="Bradley Hand ITC" w:hAnsi="Bradley Hand ITC" w:cs="Arial"/>
                <w:sz w:val="20"/>
                <w:szCs w:val="20"/>
              </w:rPr>
            </w:pPr>
            <w:r>
              <w:rPr>
                <w:rFonts w:ascii="Bradley Hand ITC" w:hAnsi="Bradley Hand ITC" w:cs="Arial"/>
                <w:sz w:val="20"/>
                <w:szCs w:val="20"/>
              </w:rPr>
              <w:t xml:space="preserve">Knowledge of upstream and downstream activities within the industry, </w:t>
            </w:r>
          </w:p>
          <w:p w:rsidR="00897A07" w:rsidRPr="0084245D" w:rsidRDefault="00027BC6" w:rsidP="008455F2">
            <w:pPr>
              <w:rPr>
                <w:rFonts w:ascii="Bradley Hand ITC" w:hAnsi="Bradley Hand ITC" w:cs="Arial"/>
                <w:sz w:val="20"/>
                <w:szCs w:val="20"/>
              </w:rPr>
            </w:pPr>
            <w:r>
              <w:rPr>
                <w:rFonts w:ascii="Bradley Hand ITC" w:hAnsi="Bradley Hand ITC" w:cs="Arial"/>
                <w:sz w:val="20"/>
                <w:szCs w:val="20"/>
              </w:rPr>
              <w:t xml:space="preserve">Application of standards such as IFRS 16 for lease accounting. </w:t>
            </w:r>
          </w:p>
        </w:tc>
      </w:tr>
    </w:tbl>
    <w:p w:rsidR="00A8101D" w:rsidRDefault="00A8101D" w:rsidP="002D79DA">
      <w:pPr>
        <w:rPr>
          <w:rFonts w:ascii="Arial" w:hAnsi="Arial" w:cs="Arial"/>
          <w:sz w:val="20"/>
          <w:szCs w:val="20"/>
        </w:rPr>
      </w:pPr>
    </w:p>
    <w:p w:rsidR="002D79DA" w:rsidRDefault="00A8101D" w:rsidP="002D79DA">
      <w:pPr>
        <w:rPr>
          <w:rFonts w:ascii="Arial" w:hAnsi="Arial" w:cs="Arial"/>
          <w:b/>
          <w:sz w:val="20"/>
          <w:szCs w:val="20"/>
          <w:u w:val="single"/>
        </w:rPr>
      </w:pPr>
      <w:r>
        <w:rPr>
          <w:rFonts w:ascii="Arial" w:hAnsi="Arial" w:cs="Arial"/>
          <w:sz w:val="20"/>
          <w:szCs w:val="20"/>
        </w:rPr>
        <w:br w:type="page"/>
      </w:r>
      <w:r w:rsidRPr="00A8101D">
        <w:rPr>
          <w:rFonts w:ascii="Arial" w:hAnsi="Arial" w:cs="Arial"/>
          <w:b/>
          <w:sz w:val="20"/>
          <w:szCs w:val="20"/>
          <w:u w:val="single"/>
        </w:rPr>
        <w:lastRenderedPageBreak/>
        <w:t>Materiality:</w:t>
      </w:r>
    </w:p>
    <w:p w:rsidR="003102CF" w:rsidRDefault="003102CF" w:rsidP="002D79DA">
      <w:pPr>
        <w:rPr>
          <w:rFonts w:ascii="Arial" w:hAnsi="Arial" w:cs="Arial"/>
          <w:sz w:val="20"/>
          <w:szCs w:val="20"/>
        </w:rPr>
      </w:pPr>
    </w:p>
    <w:p w:rsidR="00755CB4" w:rsidRDefault="00755CB4" w:rsidP="0046708E">
      <w:pPr>
        <w:jc w:val="both"/>
        <w:rPr>
          <w:rFonts w:ascii="Arial" w:hAnsi="Arial" w:cs="Arial"/>
          <w:sz w:val="20"/>
          <w:szCs w:val="20"/>
        </w:rPr>
      </w:pPr>
      <w:r>
        <w:rPr>
          <w:rFonts w:ascii="Arial" w:hAnsi="Arial" w:cs="Arial"/>
          <w:sz w:val="20"/>
          <w:szCs w:val="20"/>
        </w:rPr>
        <w:t xml:space="preserve">According to the International Standard of Auditing 320 different benchmarks may be used by an auditor when determining materiality levels. Such benchmarks may include profit before tax, total income or expenses, gross profit, total equity or net assets. </w:t>
      </w:r>
      <w:r w:rsidR="00ED7AF8">
        <w:rPr>
          <w:rFonts w:ascii="Arial" w:hAnsi="Arial" w:cs="Arial"/>
          <w:sz w:val="20"/>
          <w:szCs w:val="20"/>
        </w:rPr>
        <w:t xml:space="preserve">For entities which are mature and are financed by one private equity investor or </w:t>
      </w:r>
      <w:r w:rsidR="00765C6D">
        <w:rPr>
          <w:rFonts w:ascii="Arial" w:hAnsi="Arial" w:cs="Arial"/>
          <w:sz w:val="20"/>
          <w:szCs w:val="20"/>
        </w:rPr>
        <w:t>considerable</w:t>
      </w:r>
      <w:r w:rsidR="00ED7AF8">
        <w:rPr>
          <w:rFonts w:ascii="Arial" w:hAnsi="Arial" w:cs="Arial"/>
          <w:sz w:val="20"/>
          <w:szCs w:val="20"/>
        </w:rPr>
        <w:t xml:space="preserve"> debt the most </w:t>
      </w:r>
      <w:r w:rsidR="00765C6D">
        <w:rPr>
          <w:rFonts w:ascii="Arial" w:hAnsi="Arial" w:cs="Arial"/>
          <w:sz w:val="20"/>
          <w:szCs w:val="20"/>
        </w:rPr>
        <w:t>appropriate</w:t>
      </w:r>
      <w:r w:rsidR="00ED7AF8">
        <w:rPr>
          <w:rFonts w:ascii="Arial" w:hAnsi="Arial" w:cs="Arial"/>
          <w:sz w:val="20"/>
          <w:szCs w:val="20"/>
        </w:rPr>
        <w:t xml:space="preserve"> </w:t>
      </w:r>
      <w:r w:rsidR="00765C6D">
        <w:rPr>
          <w:rFonts w:ascii="Arial" w:hAnsi="Arial" w:cs="Arial"/>
          <w:sz w:val="20"/>
          <w:szCs w:val="20"/>
        </w:rPr>
        <w:t xml:space="preserve">materiality </w:t>
      </w:r>
      <w:r w:rsidR="00ED7AF8">
        <w:rPr>
          <w:rFonts w:ascii="Arial" w:hAnsi="Arial" w:cs="Arial"/>
          <w:sz w:val="20"/>
          <w:szCs w:val="20"/>
        </w:rPr>
        <w:t xml:space="preserve">benchmark is total assets. In this context commonly used percentage </w:t>
      </w:r>
      <w:r w:rsidR="00765C6D">
        <w:rPr>
          <w:rFonts w:ascii="Arial" w:hAnsi="Arial" w:cs="Arial"/>
          <w:sz w:val="20"/>
          <w:szCs w:val="20"/>
        </w:rPr>
        <w:t>range</w:t>
      </w:r>
      <w:r w:rsidR="00ED7AF8">
        <w:rPr>
          <w:rFonts w:ascii="Arial" w:hAnsi="Arial" w:cs="Arial"/>
          <w:sz w:val="20"/>
          <w:szCs w:val="20"/>
        </w:rPr>
        <w:t xml:space="preserve"> </w:t>
      </w:r>
      <w:r w:rsidR="00765C6D">
        <w:rPr>
          <w:rFonts w:ascii="Arial" w:hAnsi="Arial" w:cs="Arial"/>
          <w:sz w:val="20"/>
          <w:szCs w:val="20"/>
        </w:rPr>
        <w:t>from</w:t>
      </w:r>
      <w:r w:rsidR="00ED7AF8">
        <w:rPr>
          <w:rFonts w:ascii="Arial" w:hAnsi="Arial" w:cs="Arial"/>
          <w:sz w:val="20"/>
          <w:szCs w:val="20"/>
        </w:rPr>
        <w:t xml:space="preserve"> 0.5% to 1% of total assets. </w:t>
      </w:r>
      <w:r w:rsidR="00C645B9">
        <w:rPr>
          <w:rFonts w:ascii="Arial" w:hAnsi="Arial" w:cs="Arial"/>
          <w:sz w:val="20"/>
          <w:szCs w:val="20"/>
        </w:rPr>
        <w:t xml:space="preserve">(Pearson, 2021) </w:t>
      </w:r>
    </w:p>
    <w:p w:rsidR="00765C6D" w:rsidRDefault="00765C6D" w:rsidP="0046708E">
      <w:pPr>
        <w:jc w:val="both"/>
        <w:rPr>
          <w:rFonts w:ascii="Arial" w:hAnsi="Arial" w:cs="Arial"/>
          <w:sz w:val="20"/>
          <w:szCs w:val="20"/>
        </w:rPr>
      </w:pPr>
    </w:p>
    <w:p w:rsidR="00765C6D" w:rsidRDefault="00765C6D" w:rsidP="0046708E">
      <w:pPr>
        <w:jc w:val="both"/>
        <w:rPr>
          <w:rFonts w:ascii="Arial" w:hAnsi="Arial" w:cs="Arial"/>
          <w:sz w:val="20"/>
          <w:szCs w:val="20"/>
        </w:rPr>
      </w:pPr>
      <w:r>
        <w:rPr>
          <w:rFonts w:ascii="Arial" w:hAnsi="Arial" w:cs="Arial"/>
          <w:sz w:val="20"/>
          <w:szCs w:val="20"/>
        </w:rPr>
        <w:t>The appropriate materiality number for the company therefore is:</w:t>
      </w:r>
    </w:p>
    <w:p w:rsidR="00765C6D" w:rsidRDefault="00765C6D" w:rsidP="0046708E">
      <w:pPr>
        <w:jc w:val="both"/>
        <w:rPr>
          <w:rFonts w:ascii="Arial" w:hAnsi="Arial" w:cs="Arial"/>
          <w:sz w:val="20"/>
          <w:szCs w:val="20"/>
        </w:rPr>
      </w:pPr>
    </w:p>
    <w:p w:rsidR="00657B00" w:rsidRDefault="00765C6D" w:rsidP="00765C6D">
      <w:pPr>
        <w:jc w:val="center"/>
        <w:rPr>
          <w:rFonts w:ascii="Arial" w:hAnsi="Arial" w:cs="Arial"/>
          <w:b/>
          <w:i/>
          <w:sz w:val="20"/>
          <w:szCs w:val="20"/>
        </w:rPr>
      </w:pPr>
      <w:r w:rsidRPr="00765C6D">
        <w:rPr>
          <w:rFonts w:ascii="Arial" w:hAnsi="Arial" w:cs="Arial"/>
          <w:b/>
          <w:i/>
          <w:sz w:val="20"/>
          <w:szCs w:val="20"/>
        </w:rPr>
        <w:t>Total Assets (2018) x 1% = $327,003,204 x 1% = $ 3,270,032</w:t>
      </w:r>
    </w:p>
    <w:p w:rsidR="00657B00" w:rsidRDefault="00657B00">
      <w:pPr>
        <w:rPr>
          <w:rFonts w:ascii="Arial" w:hAnsi="Arial" w:cs="Arial"/>
          <w:b/>
          <w:i/>
          <w:sz w:val="20"/>
          <w:szCs w:val="20"/>
        </w:rPr>
      </w:pPr>
      <w:r>
        <w:rPr>
          <w:rFonts w:ascii="Arial" w:hAnsi="Arial" w:cs="Arial"/>
          <w:b/>
          <w:i/>
          <w:sz w:val="20"/>
          <w:szCs w:val="20"/>
        </w:rPr>
        <w:br w:type="page"/>
      </w:r>
    </w:p>
    <w:p w:rsidR="00657B00" w:rsidRPr="00657B00" w:rsidRDefault="00657B00" w:rsidP="00657B00">
      <w:pPr>
        <w:spacing w:after="100" w:afterAutospacing="1"/>
        <w:outlineLvl w:val="1"/>
        <w:rPr>
          <w:b/>
          <w:color w:val="000000"/>
          <w:sz w:val="20"/>
          <w:szCs w:val="20"/>
        </w:rPr>
      </w:pPr>
      <w:r w:rsidRPr="00657B00">
        <w:rPr>
          <w:b/>
          <w:color w:val="000000"/>
          <w:sz w:val="20"/>
          <w:szCs w:val="20"/>
        </w:rPr>
        <w:lastRenderedPageBreak/>
        <w:t>References</w:t>
      </w:r>
    </w:p>
    <w:p w:rsidR="00657B00" w:rsidRPr="00657B00" w:rsidRDefault="00657B00" w:rsidP="00662FC4">
      <w:pPr>
        <w:spacing w:after="188"/>
        <w:ind w:left="470" w:hanging="470"/>
        <w:jc w:val="both"/>
        <w:rPr>
          <w:color w:val="000000"/>
          <w:sz w:val="20"/>
          <w:szCs w:val="20"/>
        </w:rPr>
      </w:pPr>
      <w:r w:rsidRPr="00657B00">
        <w:rPr>
          <w:color w:val="000000"/>
          <w:sz w:val="20"/>
          <w:szCs w:val="20"/>
        </w:rPr>
        <w:t xml:space="preserve">(2021). Retrieved 10 November 2021, from </w:t>
      </w:r>
      <w:hyperlink r:id="rId8" w:history="1">
        <w:r w:rsidR="00A80CCF" w:rsidRPr="00584FD1">
          <w:rPr>
            <w:rStyle w:val="Hyperlink"/>
            <w:sz w:val="20"/>
            <w:szCs w:val="20"/>
          </w:rPr>
          <w:t>https://www.dnb.com/business-directory/company-information.oil_and_gas_extraction.ca.alberta.html</w:t>
        </w:r>
      </w:hyperlink>
      <w:r w:rsidR="00A80CCF">
        <w:rPr>
          <w:color w:val="000000"/>
          <w:sz w:val="20"/>
          <w:szCs w:val="20"/>
        </w:rPr>
        <w:t xml:space="preserve"> </w:t>
      </w:r>
    </w:p>
    <w:p w:rsidR="00657B00" w:rsidRPr="00657B00" w:rsidRDefault="00657B00" w:rsidP="00662FC4">
      <w:pPr>
        <w:spacing w:after="188"/>
        <w:ind w:left="470" w:hanging="470"/>
        <w:jc w:val="both"/>
        <w:rPr>
          <w:color w:val="000000"/>
          <w:sz w:val="20"/>
          <w:szCs w:val="20"/>
        </w:rPr>
      </w:pPr>
      <w:r w:rsidRPr="00657B00">
        <w:rPr>
          <w:color w:val="000000"/>
          <w:sz w:val="20"/>
          <w:szCs w:val="20"/>
        </w:rPr>
        <w:t xml:space="preserve">Innovation. (2021). Retrieved 10 November 2021, from </w:t>
      </w:r>
      <w:hyperlink r:id="rId9" w:history="1">
        <w:r w:rsidR="00A80CCF" w:rsidRPr="00584FD1">
          <w:rPr>
            <w:rStyle w:val="Hyperlink"/>
            <w:sz w:val="20"/>
            <w:szCs w:val="20"/>
          </w:rPr>
          <w:t>https://www.capp.ca/environment/innovation/</w:t>
        </w:r>
      </w:hyperlink>
      <w:r w:rsidR="00A80CCF">
        <w:rPr>
          <w:color w:val="000000"/>
          <w:sz w:val="20"/>
          <w:szCs w:val="20"/>
        </w:rPr>
        <w:t xml:space="preserve"> </w:t>
      </w:r>
    </w:p>
    <w:p w:rsidR="00657B00" w:rsidRPr="00657B00" w:rsidRDefault="00657B00" w:rsidP="00662FC4">
      <w:pPr>
        <w:spacing w:after="188"/>
        <w:ind w:left="470" w:hanging="470"/>
        <w:jc w:val="both"/>
        <w:rPr>
          <w:color w:val="000000"/>
          <w:sz w:val="20"/>
          <w:szCs w:val="20"/>
        </w:rPr>
      </w:pPr>
      <w:r w:rsidRPr="00657B00">
        <w:rPr>
          <w:color w:val="000000"/>
          <w:sz w:val="20"/>
          <w:szCs w:val="20"/>
        </w:rPr>
        <w:t xml:space="preserve">Leading Canadian oil and gas firms revenue 2021 | Statista. (2021). Retrieved 10 November 2021, from </w:t>
      </w:r>
      <w:hyperlink r:id="rId10" w:history="1">
        <w:r w:rsidR="00A80CCF" w:rsidRPr="00584FD1">
          <w:rPr>
            <w:rStyle w:val="Hyperlink"/>
            <w:sz w:val="20"/>
            <w:szCs w:val="20"/>
          </w:rPr>
          <w:t>https://www.statista.com/statistics/433977/select-canadian-oil-and-gas-company-revenues/</w:t>
        </w:r>
      </w:hyperlink>
      <w:r w:rsidR="00A80CCF">
        <w:rPr>
          <w:color w:val="000000"/>
          <w:sz w:val="20"/>
          <w:szCs w:val="20"/>
        </w:rPr>
        <w:t xml:space="preserve"> </w:t>
      </w:r>
    </w:p>
    <w:p w:rsidR="00657B00" w:rsidRPr="00657B00" w:rsidRDefault="00657B00" w:rsidP="00662FC4">
      <w:pPr>
        <w:spacing w:after="188"/>
        <w:ind w:left="470" w:hanging="470"/>
        <w:jc w:val="both"/>
        <w:rPr>
          <w:color w:val="000000"/>
          <w:sz w:val="20"/>
          <w:szCs w:val="20"/>
        </w:rPr>
      </w:pPr>
      <w:r w:rsidRPr="00657B00">
        <w:rPr>
          <w:i/>
          <w:iCs/>
          <w:color w:val="000000"/>
          <w:sz w:val="20"/>
          <w:szCs w:val="20"/>
        </w:rPr>
        <w:t>Materiality and Risk</w:t>
      </w:r>
      <w:r w:rsidRPr="00657B00">
        <w:rPr>
          <w:color w:val="000000"/>
          <w:sz w:val="20"/>
          <w:szCs w:val="20"/>
        </w:rPr>
        <w:t xml:space="preserve">. (2021). [Ebook]. Retrieved from </w:t>
      </w:r>
      <w:hyperlink r:id="rId11" w:history="1">
        <w:r w:rsidR="00A80CCF" w:rsidRPr="00584FD1">
          <w:rPr>
            <w:rStyle w:val="Hyperlink"/>
            <w:sz w:val="20"/>
            <w:szCs w:val="20"/>
          </w:rPr>
          <w:t>http://www.pearsoncanada.ca/media/highered-showcase/multi-product-showcase/arens-ch07.pdf</w:t>
        </w:r>
      </w:hyperlink>
      <w:r w:rsidR="00A80CCF">
        <w:rPr>
          <w:color w:val="000000"/>
          <w:sz w:val="20"/>
          <w:szCs w:val="20"/>
        </w:rPr>
        <w:t xml:space="preserve"> </w:t>
      </w:r>
    </w:p>
    <w:p w:rsidR="00657B00" w:rsidRPr="00657B00" w:rsidRDefault="00657B00" w:rsidP="00662FC4">
      <w:pPr>
        <w:spacing w:after="188"/>
        <w:ind w:left="470" w:hanging="470"/>
        <w:jc w:val="both"/>
        <w:rPr>
          <w:color w:val="000000"/>
          <w:sz w:val="20"/>
          <w:szCs w:val="20"/>
        </w:rPr>
      </w:pPr>
      <w:r w:rsidRPr="00657B00">
        <w:rPr>
          <w:color w:val="000000"/>
          <w:sz w:val="20"/>
          <w:szCs w:val="20"/>
        </w:rPr>
        <w:t xml:space="preserve">New Technologies, Innovations - Oil&amp;Gas Portal. (2021). Retrieved 10 November 2021, from </w:t>
      </w:r>
      <w:hyperlink r:id="rId12" w:history="1">
        <w:r w:rsidR="00A80CCF" w:rsidRPr="00584FD1">
          <w:rPr>
            <w:rStyle w:val="Hyperlink"/>
            <w:sz w:val="20"/>
            <w:szCs w:val="20"/>
          </w:rPr>
          <w:t>http://www.oil-gasportal.com/drilling/new-technologies-innovations/</w:t>
        </w:r>
      </w:hyperlink>
      <w:r w:rsidR="00A80CCF">
        <w:rPr>
          <w:color w:val="000000"/>
          <w:sz w:val="20"/>
          <w:szCs w:val="20"/>
        </w:rPr>
        <w:t xml:space="preserve"> </w:t>
      </w:r>
    </w:p>
    <w:p w:rsidR="00657B00" w:rsidRPr="00657B00" w:rsidRDefault="00657B00" w:rsidP="00662FC4">
      <w:pPr>
        <w:spacing w:after="188"/>
        <w:ind w:left="470" w:hanging="470"/>
        <w:jc w:val="both"/>
        <w:rPr>
          <w:color w:val="000000"/>
          <w:sz w:val="20"/>
          <w:szCs w:val="20"/>
        </w:rPr>
      </w:pPr>
      <w:r w:rsidRPr="00657B00">
        <w:rPr>
          <w:color w:val="000000"/>
          <w:sz w:val="20"/>
          <w:szCs w:val="20"/>
        </w:rPr>
        <w:t xml:space="preserve">Oil Market Report - January 2021 – Analysis - IEA. (2021). Retrieved 10 November 2021, from </w:t>
      </w:r>
      <w:hyperlink r:id="rId13" w:history="1">
        <w:r w:rsidR="00A80CCF" w:rsidRPr="00584FD1">
          <w:rPr>
            <w:rStyle w:val="Hyperlink"/>
            <w:sz w:val="20"/>
            <w:szCs w:val="20"/>
          </w:rPr>
          <w:t>https://www.iea.org/reports/oil-market-report-january-2021</w:t>
        </w:r>
      </w:hyperlink>
      <w:r w:rsidR="00A80CCF">
        <w:rPr>
          <w:color w:val="000000"/>
          <w:sz w:val="20"/>
          <w:szCs w:val="20"/>
        </w:rPr>
        <w:t xml:space="preserve"> </w:t>
      </w:r>
    </w:p>
    <w:p w:rsidR="00657B00" w:rsidRPr="00657B00" w:rsidRDefault="00657B00" w:rsidP="00662FC4">
      <w:pPr>
        <w:spacing w:after="188"/>
        <w:ind w:left="470" w:hanging="470"/>
        <w:jc w:val="both"/>
        <w:rPr>
          <w:color w:val="000000"/>
          <w:sz w:val="20"/>
          <w:szCs w:val="20"/>
        </w:rPr>
      </w:pPr>
      <w:r w:rsidRPr="00657B00">
        <w:rPr>
          <w:color w:val="000000"/>
          <w:sz w:val="20"/>
          <w:szCs w:val="20"/>
        </w:rPr>
        <w:t xml:space="preserve">Smith, S. (2021). The innovations driving Canada’s oil and gas sector | BOE Report. Retrieved 10 November 2021, from </w:t>
      </w:r>
      <w:hyperlink r:id="rId14" w:history="1">
        <w:r w:rsidR="00A80CCF" w:rsidRPr="00584FD1">
          <w:rPr>
            <w:rStyle w:val="Hyperlink"/>
            <w:sz w:val="20"/>
            <w:szCs w:val="20"/>
          </w:rPr>
          <w:t>https://boereport.com/2021/04/20/the-innovations-driving-canadas-oil-and-gas-sector/</w:t>
        </w:r>
      </w:hyperlink>
      <w:r w:rsidR="00A80CCF">
        <w:rPr>
          <w:color w:val="000000"/>
          <w:sz w:val="20"/>
          <w:szCs w:val="20"/>
        </w:rPr>
        <w:t xml:space="preserve"> </w:t>
      </w:r>
    </w:p>
    <w:p w:rsidR="00657B00" w:rsidRPr="00657B00" w:rsidRDefault="00657B00" w:rsidP="00662FC4">
      <w:pPr>
        <w:spacing w:after="188"/>
        <w:ind w:left="470" w:hanging="470"/>
        <w:jc w:val="both"/>
        <w:rPr>
          <w:color w:val="000000"/>
          <w:sz w:val="20"/>
          <w:szCs w:val="20"/>
        </w:rPr>
      </w:pPr>
      <w:r w:rsidRPr="00657B00">
        <w:rPr>
          <w:i/>
          <w:iCs/>
          <w:color w:val="000000"/>
          <w:sz w:val="20"/>
          <w:szCs w:val="20"/>
        </w:rPr>
        <w:t>Toronto Stock Exchange</w:t>
      </w:r>
      <w:r w:rsidRPr="00657B00">
        <w:rPr>
          <w:color w:val="000000"/>
          <w:sz w:val="20"/>
          <w:szCs w:val="20"/>
        </w:rPr>
        <w:t xml:space="preserve">. (2010). [Ebook]. Retrieved from </w:t>
      </w:r>
      <w:hyperlink r:id="rId15" w:history="1">
        <w:r w:rsidR="00A80CCF" w:rsidRPr="00584FD1">
          <w:rPr>
            <w:rStyle w:val="Hyperlink"/>
            <w:sz w:val="20"/>
            <w:szCs w:val="20"/>
          </w:rPr>
          <w:t>https://www.tsx.com/resource/en/69</w:t>
        </w:r>
      </w:hyperlink>
      <w:r w:rsidR="00A80CCF">
        <w:rPr>
          <w:color w:val="000000"/>
          <w:sz w:val="20"/>
          <w:szCs w:val="20"/>
        </w:rPr>
        <w:t xml:space="preserve"> </w:t>
      </w:r>
    </w:p>
    <w:p w:rsidR="00657B00" w:rsidRPr="00657B00" w:rsidRDefault="00657B00" w:rsidP="00662FC4">
      <w:pPr>
        <w:spacing w:after="188"/>
        <w:ind w:left="470" w:hanging="470"/>
        <w:jc w:val="both"/>
        <w:rPr>
          <w:color w:val="000000"/>
          <w:sz w:val="20"/>
          <w:szCs w:val="20"/>
        </w:rPr>
      </w:pPr>
      <w:r w:rsidRPr="00657B00">
        <w:rPr>
          <w:color w:val="000000"/>
          <w:sz w:val="20"/>
          <w:szCs w:val="20"/>
        </w:rPr>
        <w:t xml:space="preserve">Wang, W. (2021). The oil and gas sector in Canada: A year after the start of the pandemic. Retrieved 10 November 2021, from </w:t>
      </w:r>
      <w:hyperlink r:id="rId16" w:history="1">
        <w:r w:rsidR="00A80CCF" w:rsidRPr="00584FD1">
          <w:rPr>
            <w:rStyle w:val="Hyperlink"/>
            <w:sz w:val="20"/>
            <w:szCs w:val="20"/>
          </w:rPr>
          <w:t>https://www150.statcan.gc.ca/n1/pub/36-28-0001/2021007/article/00003-eng.htm</w:t>
        </w:r>
      </w:hyperlink>
      <w:r w:rsidR="00A80CCF">
        <w:rPr>
          <w:color w:val="000000"/>
          <w:sz w:val="20"/>
          <w:szCs w:val="20"/>
        </w:rPr>
        <w:t xml:space="preserve"> </w:t>
      </w:r>
    </w:p>
    <w:p w:rsidR="00F14848" w:rsidRPr="00657B00" w:rsidRDefault="00657B00" w:rsidP="00662FC4">
      <w:pPr>
        <w:spacing w:after="188"/>
        <w:ind w:left="470" w:hanging="470"/>
        <w:jc w:val="both"/>
        <w:rPr>
          <w:color w:val="000000"/>
          <w:sz w:val="20"/>
          <w:szCs w:val="20"/>
        </w:rPr>
      </w:pPr>
      <w:r w:rsidRPr="00657B00">
        <w:rPr>
          <w:color w:val="000000"/>
          <w:sz w:val="20"/>
          <w:szCs w:val="20"/>
        </w:rPr>
        <w:t xml:space="preserve">What are accounting standards?. (2021). Retrieved 10 November 2021, from </w:t>
      </w:r>
      <w:hyperlink r:id="rId17" w:history="1">
        <w:r w:rsidR="00A80CCF" w:rsidRPr="00584FD1">
          <w:rPr>
            <w:rStyle w:val="Hyperlink"/>
            <w:sz w:val="20"/>
            <w:szCs w:val="20"/>
          </w:rPr>
          <w:t>https://www.frascanada.ca/en/acsb/about/what-are-accounting-standards</w:t>
        </w:r>
      </w:hyperlink>
      <w:r w:rsidR="00A80CCF">
        <w:rPr>
          <w:color w:val="000000"/>
          <w:sz w:val="20"/>
          <w:szCs w:val="20"/>
        </w:rPr>
        <w:t xml:space="preserve"> </w:t>
      </w:r>
    </w:p>
    <w:sectPr w:rsidR="00F14848" w:rsidRPr="00657B00" w:rsidSect="00A421B6">
      <w:headerReference w:type="default" r:id="rId18"/>
      <w:footerReference w:type="default" r:id="rId19"/>
      <w:pgSz w:w="12240" w:h="15840" w:code="1"/>
      <w:pgMar w:top="2520" w:right="1728" w:bottom="1152"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5107" w:rsidRDefault="00565107">
      <w:r>
        <w:separator/>
      </w:r>
    </w:p>
  </w:endnote>
  <w:endnote w:type="continuationSeparator" w:id="1">
    <w:p w:rsidR="00565107" w:rsidRDefault="005651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14E4" w:rsidRPr="005B3A19" w:rsidRDefault="008C14E4" w:rsidP="005B3A19">
    <w:pPr>
      <w:pStyle w:val="Footer"/>
      <w:jc w:val="right"/>
      <w:rPr>
        <w:sz w:val="20"/>
        <w:szCs w:val="20"/>
      </w:rPr>
    </w:pPr>
    <w:r w:rsidRPr="005B3A19">
      <w:rPr>
        <w:sz w:val="20"/>
        <w:szCs w:val="20"/>
      </w:rPr>
      <w:t xml:space="preserve">Page </w:t>
    </w:r>
    <w:r w:rsidR="00F65A8A" w:rsidRPr="005B3A19">
      <w:rPr>
        <w:rStyle w:val="PageNumber"/>
        <w:sz w:val="20"/>
        <w:szCs w:val="20"/>
      </w:rPr>
      <w:fldChar w:fldCharType="begin"/>
    </w:r>
    <w:r w:rsidRPr="005B3A19">
      <w:rPr>
        <w:rStyle w:val="PageNumber"/>
        <w:sz w:val="20"/>
        <w:szCs w:val="20"/>
      </w:rPr>
      <w:instrText xml:space="preserve"> PAGE </w:instrText>
    </w:r>
    <w:r w:rsidR="00F65A8A" w:rsidRPr="005B3A19">
      <w:rPr>
        <w:rStyle w:val="PageNumber"/>
        <w:sz w:val="20"/>
        <w:szCs w:val="20"/>
      </w:rPr>
      <w:fldChar w:fldCharType="separate"/>
    </w:r>
    <w:r w:rsidR="00662FC4">
      <w:rPr>
        <w:rStyle w:val="PageNumber"/>
        <w:noProof/>
        <w:sz w:val="20"/>
        <w:szCs w:val="20"/>
      </w:rPr>
      <w:t>7</w:t>
    </w:r>
    <w:r w:rsidR="00F65A8A" w:rsidRPr="005B3A19">
      <w:rPr>
        <w:rStyle w:val="PageNumber"/>
        <w:sz w:val="20"/>
        <w:szCs w:val="20"/>
      </w:rPr>
      <w:fldChar w:fldCharType="end"/>
    </w:r>
    <w:r w:rsidRPr="005B3A19">
      <w:rPr>
        <w:rStyle w:val="PageNumber"/>
        <w:sz w:val="20"/>
        <w:szCs w:val="20"/>
      </w:rPr>
      <w:t xml:space="preserve"> of </w:t>
    </w:r>
    <w:r w:rsidR="00F65A8A" w:rsidRPr="005B3A19">
      <w:rPr>
        <w:rStyle w:val="PageNumber"/>
        <w:sz w:val="20"/>
        <w:szCs w:val="20"/>
      </w:rPr>
      <w:fldChar w:fldCharType="begin"/>
    </w:r>
    <w:r w:rsidRPr="005B3A19">
      <w:rPr>
        <w:rStyle w:val="PageNumber"/>
        <w:sz w:val="20"/>
        <w:szCs w:val="20"/>
      </w:rPr>
      <w:instrText xml:space="preserve"> NUMPAGES </w:instrText>
    </w:r>
    <w:r w:rsidR="00F65A8A" w:rsidRPr="005B3A19">
      <w:rPr>
        <w:rStyle w:val="PageNumber"/>
        <w:sz w:val="20"/>
        <w:szCs w:val="20"/>
      </w:rPr>
      <w:fldChar w:fldCharType="separate"/>
    </w:r>
    <w:r w:rsidR="00662FC4">
      <w:rPr>
        <w:rStyle w:val="PageNumber"/>
        <w:noProof/>
        <w:sz w:val="20"/>
        <w:szCs w:val="20"/>
      </w:rPr>
      <w:t>7</w:t>
    </w:r>
    <w:r w:rsidR="00F65A8A" w:rsidRPr="005B3A19">
      <w:rPr>
        <w:rStyle w:val="PageNumber"/>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5107" w:rsidRDefault="00565107">
      <w:r>
        <w:separator/>
      </w:r>
    </w:p>
  </w:footnote>
  <w:footnote w:type="continuationSeparator" w:id="1">
    <w:p w:rsidR="00565107" w:rsidRDefault="005651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18D" w:rsidRDefault="0097399D" w:rsidP="00F8118D">
    <w:pPr>
      <w:pStyle w:val="Header"/>
      <w:rPr>
        <w:rFonts w:ascii="Arial" w:hAnsi="Arial" w:cs="Arial"/>
        <w:sz w:val="22"/>
        <w:szCs w:val="22"/>
      </w:rPr>
    </w:pPr>
    <w:r>
      <w:rPr>
        <w:noProof/>
      </w:rPr>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2447925" cy="96202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2447925" cy="962025"/>
                  </a:xfrm>
                  <a:prstGeom prst="rect">
                    <a:avLst/>
                  </a:prstGeom>
                  <a:noFill/>
                  <a:ln w="9525">
                    <a:noFill/>
                    <a:miter lim="800000"/>
                    <a:headEnd/>
                    <a:tailEnd/>
                  </a:ln>
                </pic:spPr>
              </pic:pic>
            </a:graphicData>
          </a:graphic>
        </wp:anchor>
      </w:drawing>
    </w:r>
  </w:p>
  <w:tbl>
    <w:tblPr>
      <w:tblW w:w="0" w:type="auto"/>
      <w:tblInd w:w="4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2880"/>
    </w:tblGrid>
    <w:tr w:rsidR="00F8118D" w:rsidRPr="0084245D" w:rsidTr="00F8118D">
      <w:trPr>
        <w:trHeight w:val="576"/>
      </w:trPr>
      <w:tc>
        <w:tcPr>
          <w:tcW w:w="1620" w:type="dxa"/>
          <w:vAlign w:val="center"/>
        </w:tcPr>
        <w:p w:rsidR="00F8118D" w:rsidRPr="0084245D" w:rsidRDefault="00F8118D" w:rsidP="00B47A66">
          <w:pPr>
            <w:pStyle w:val="Header"/>
            <w:jc w:val="right"/>
            <w:rPr>
              <w:rFonts w:ascii="Bradley Hand ITC" w:hAnsi="Bradley Hand ITC" w:cs="Arial"/>
              <w:sz w:val="22"/>
              <w:szCs w:val="22"/>
            </w:rPr>
          </w:pPr>
          <w:r>
            <w:rPr>
              <w:rFonts w:ascii="Arial" w:hAnsi="Arial" w:cs="Arial"/>
              <w:sz w:val="22"/>
              <w:szCs w:val="22"/>
            </w:rPr>
            <w:t>P</w:t>
          </w:r>
          <w:r w:rsidRPr="0084245D">
            <w:rPr>
              <w:rFonts w:ascii="Arial" w:hAnsi="Arial" w:cs="Arial"/>
              <w:sz w:val="22"/>
              <w:szCs w:val="22"/>
            </w:rPr>
            <w:t xml:space="preserve">repared by:  </w:t>
          </w:r>
        </w:p>
      </w:tc>
      <w:tc>
        <w:tcPr>
          <w:tcW w:w="2880" w:type="dxa"/>
          <w:vAlign w:val="center"/>
        </w:tcPr>
        <w:p w:rsidR="00F8118D" w:rsidRPr="00A331B4" w:rsidRDefault="00A331B4" w:rsidP="00B47A66">
          <w:pPr>
            <w:pStyle w:val="Header"/>
            <w:jc w:val="right"/>
            <w:rPr>
              <w:rFonts w:ascii="Bradley Hand ITC" w:hAnsi="Bradley Hand ITC" w:cs="Arial"/>
              <w:color w:val="FF0000"/>
              <w:sz w:val="32"/>
              <w:szCs w:val="32"/>
            </w:rPr>
          </w:pPr>
          <w:r w:rsidRPr="00A331B4">
            <w:rPr>
              <w:rFonts w:ascii="Bradley Hand ITC" w:hAnsi="Bradley Hand ITC" w:cs="Arial"/>
              <w:color w:val="FF0000"/>
              <w:sz w:val="32"/>
              <w:szCs w:val="32"/>
            </w:rPr>
            <w:t>Student’s Name</w:t>
          </w:r>
        </w:p>
      </w:tc>
    </w:tr>
    <w:tr w:rsidR="00F8118D" w:rsidRPr="0084245D" w:rsidTr="00F8118D">
      <w:trPr>
        <w:trHeight w:val="576"/>
      </w:trPr>
      <w:tc>
        <w:tcPr>
          <w:tcW w:w="1620" w:type="dxa"/>
          <w:vAlign w:val="center"/>
        </w:tcPr>
        <w:p w:rsidR="00F8118D" w:rsidRPr="0084245D" w:rsidRDefault="00F8118D" w:rsidP="00B47A66">
          <w:pPr>
            <w:pStyle w:val="Header"/>
            <w:jc w:val="right"/>
            <w:rPr>
              <w:rFonts w:ascii="Bradley Hand ITC" w:hAnsi="Bradley Hand ITC" w:cs="Arial"/>
              <w:sz w:val="22"/>
              <w:szCs w:val="22"/>
            </w:rPr>
          </w:pPr>
          <w:r w:rsidRPr="0084245D">
            <w:rPr>
              <w:rFonts w:ascii="Arial" w:hAnsi="Arial" w:cs="Arial"/>
              <w:sz w:val="22"/>
              <w:szCs w:val="22"/>
            </w:rPr>
            <w:t xml:space="preserve">Date:  </w:t>
          </w:r>
        </w:p>
      </w:tc>
      <w:tc>
        <w:tcPr>
          <w:tcW w:w="2880" w:type="dxa"/>
          <w:vAlign w:val="center"/>
        </w:tcPr>
        <w:p w:rsidR="00F8118D" w:rsidRPr="0084245D" w:rsidRDefault="00CC0B22" w:rsidP="00B47A66">
          <w:pPr>
            <w:pStyle w:val="Header"/>
            <w:jc w:val="right"/>
            <w:rPr>
              <w:rFonts w:ascii="Bradley Hand ITC" w:hAnsi="Bradley Hand ITC" w:cs="Arial"/>
              <w:sz w:val="32"/>
              <w:szCs w:val="32"/>
            </w:rPr>
          </w:pPr>
          <w:r>
            <w:rPr>
              <w:rFonts w:ascii="Bradley Hand ITC" w:hAnsi="Bradley Hand ITC" w:cs="Arial"/>
              <w:sz w:val="32"/>
              <w:szCs w:val="32"/>
            </w:rPr>
            <w:t>November 8, 2021</w:t>
          </w:r>
        </w:p>
      </w:tc>
    </w:tr>
  </w:tbl>
  <w:p w:rsidR="00F8118D" w:rsidRDefault="00F8118D" w:rsidP="00F8118D">
    <w:pPr>
      <w:pStyle w:val="Header"/>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6"/>
      <w:gridCol w:w="6620"/>
    </w:tblGrid>
    <w:tr w:rsidR="008C14E4" w:rsidRPr="0084245D" w:rsidTr="0084245D">
      <w:trPr>
        <w:trHeight w:val="432"/>
      </w:trPr>
      <w:tc>
        <w:tcPr>
          <w:tcW w:w="2236" w:type="dxa"/>
          <w:vAlign w:val="center"/>
        </w:tcPr>
        <w:p w:rsidR="008C14E4" w:rsidRPr="0084245D" w:rsidRDefault="008C14E4" w:rsidP="00DC6631">
          <w:pPr>
            <w:rPr>
              <w:rFonts w:ascii="Arial" w:hAnsi="Arial" w:cs="Arial"/>
              <w:sz w:val="20"/>
              <w:szCs w:val="20"/>
            </w:rPr>
          </w:pPr>
          <w:r w:rsidRPr="0084245D">
            <w:rPr>
              <w:rFonts w:ascii="Arial" w:hAnsi="Arial" w:cs="Arial"/>
              <w:sz w:val="20"/>
              <w:szCs w:val="20"/>
            </w:rPr>
            <w:t>Name of client:</w:t>
          </w:r>
        </w:p>
      </w:tc>
      <w:tc>
        <w:tcPr>
          <w:tcW w:w="6620" w:type="dxa"/>
          <w:vAlign w:val="center"/>
        </w:tcPr>
        <w:p w:rsidR="008C14E4" w:rsidRPr="0084245D" w:rsidRDefault="008C14E4" w:rsidP="00CB73B2">
          <w:pPr>
            <w:rPr>
              <w:rFonts w:ascii="Bradley Hand ITC" w:hAnsi="Bradley Hand ITC" w:cs="Arial"/>
              <w:sz w:val="20"/>
              <w:szCs w:val="20"/>
            </w:rPr>
          </w:pPr>
          <w:r w:rsidRPr="0084245D">
            <w:rPr>
              <w:rFonts w:ascii="Bradley Hand ITC" w:hAnsi="Bradley Hand ITC" w:cs="Arial"/>
              <w:sz w:val="20"/>
              <w:szCs w:val="20"/>
            </w:rPr>
            <w:t xml:space="preserve"> </w:t>
          </w:r>
          <w:r w:rsidR="00CB73B2" w:rsidRPr="00CB73B2">
            <w:rPr>
              <w:rFonts w:ascii="Bradley Hand ITC" w:hAnsi="Bradley Hand ITC" w:cs="Arial"/>
              <w:sz w:val="20"/>
              <w:szCs w:val="20"/>
            </w:rPr>
            <w:t>We</w:t>
          </w:r>
          <w:r w:rsidR="00CB73B2">
            <w:rPr>
              <w:rFonts w:ascii="Bradley Hand ITC" w:hAnsi="Bradley Hand ITC" w:cs="Arial"/>
              <w:sz w:val="20"/>
              <w:szCs w:val="20"/>
            </w:rPr>
            <w:t>stern Energy Recovery Ltd (WER)</w:t>
          </w:r>
        </w:p>
      </w:tc>
    </w:tr>
    <w:tr w:rsidR="008C14E4" w:rsidRPr="0084245D" w:rsidTr="0084245D">
      <w:trPr>
        <w:trHeight w:val="432"/>
      </w:trPr>
      <w:tc>
        <w:tcPr>
          <w:tcW w:w="2236" w:type="dxa"/>
          <w:vAlign w:val="center"/>
        </w:tcPr>
        <w:p w:rsidR="008C14E4" w:rsidRPr="0084245D" w:rsidRDefault="008C14E4" w:rsidP="00DC6631">
          <w:pPr>
            <w:rPr>
              <w:rFonts w:ascii="Arial" w:hAnsi="Arial" w:cs="Arial"/>
              <w:sz w:val="20"/>
              <w:szCs w:val="20"/>
            </w:rPr>
          </w:pPr>
          <w:r w:rsidRPr="0084245D">
            <w:rPr>
              <w:rFonts w:ascii="Arial" w:hAnsi="Arial" w:cs="Arial"/>
              <w:sz w:val="20"/>
              <w:szCs w:val="20"/>
            </w:rPr>
            <w:t>Year end:</w:t>
          </w:r>
        </w:p>
      </w:tc>
      <w:tc>
        <w:tcPr>
          <w:tcW w:w="6620" w:type="dxa"/>
          <w:vAlign w:val="center"/>
        </w:tcPr>
        <w:p w:rsidR="008C14E4" w:rsidRPr="0084245D" w:rsidRDefault="00CB73B2" w:rsidP="00DC6631">
          <w:pPr>
            <w:rPr>
              <w:rFonts w:ascii="Bradley Hand ITC" w:hAnsi="Bradley Hand ITC" w:cs="Arial"/>
              <w:sz w:val="20"/>
              <w:szCs w:val="20"/>
            </w:rPr>
          </w:pPr>
          <w:r>
            <w:rPr>
              <w:rFonts w:ascii="Bradley Hand ITC" w:hAnsi="Bradley Hand ITC" w:cs="Arial"/>
              <w:sz w:val="20"/>
              <w:szCs w:val="20"/>
            </w:rPr>
            <w:t>December 31, 2020</w:t>
          </w:r>
        </w:p>
      </w:tc>
    </w:tr>
  </w:tbl>
  <w:p w:rsidR="008C14E4" w:rsidRDefault="008C14E4" w:rsidP="00407F23">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BD0BC2"/>
    <w:multiLevelType w:val="multilevel"/>
    <w:tmpl w:val="9656D942"/>
    <w:lvl w:ilvl="0">
      <w:numFmt w:val="decimal"/>
      <w:lvlText w:val="%1"/>
      <w:lvlJc w:val="left"/>
      <w:pPr>
        <w:tabs>
          <w:tab w:val="num" w:pos="435"/>
        </w:tabs>
        <w:ind w:left="435" w:hanging="435"/>
      </w:pPr>
      <w:rPr>
        <w:rFonts w:hint="default"/>
      </w:rPr>
    </w:lvl>
    <w:lvl w:ilvl="1">
      <w:start w:val="1"/>
      <w:numFmt w:val="decimalZero"/>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69BA5290"/>
    <w:multiLevelType w:val="hybridMultilevel"/>
    <w:tmpl w:val="64CA234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89073EB"/>
    <w:multiLevelType w:val="hybridMultilevel"/>
    <w:tmpl w:val="7864F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stylePaneFormatFilter w:val="3F01"/>
  <w:defaultTabStop w:val="720"/>
  <w:characterSpacingControl w:val="doNotCompress"/>
  <w:hdrShapeDefaults>
    <o:shapedefaults v:ext="edit" spidmax="6146"/>
  </w:hdrShapeDefaults>
  <w:footnotePr>
    <w:footnote w:id="0"/>
    <w:footnote w:id="1"/>
  </w:footnotePr>
  <w:endnotePr>
    <w:endnote w:id="0"/>
    <w:endnote w:id="1"/>
  </w:endnotePr>
  <w:compat/>
  <w:docVars>
    <w:docVar w:name="__Grammarly_42____i" w:val="H4sIAAAAAAAEAKtWckksSQxILCpxzi/NK1GyMqwFAAEhoTITAAAA"/>
    <w:docVar w:name="__Grammarly_42___1" w:val="H4sIAAAAAAAEAKtWcslP9kxRslIyNDY0MjS0NDAwMrUwMzc1NzBT0lEKTi0uzszPAykwqgUA/jKpwiwAAAA="/>
  </w:docVars>
  <w:rsids>
    <w:rsidRoot w:val="002D79DA"/>
    <w:rsid w:val="00002630"/>
    <w:rsid w:val="0000437E"/>
    <w:rsid w:val="0002539F"/>
    <w:rsid w:val="00027955"/>
    <w:rsid w:val="00027BC6"/>
    <w:rsid w:val="000502ED"/>
    <w:rsid w:val="00056681"/>
    <w:rsid w:val="0006320A"/>
    <w:rsid w:val="00083642"/>
    <w:rsid w:val="00095CF3"/>
    <w:rsid w:val="000C7903"/>
    <w:rsid w:val="000F40C7"/>
    <w:rsid w:val="00102680"/>
    <w:rsid w:val="00116ECF"/>
    <w:rsid w:val="001239C1"/>
    <w:rsid w:val="00123A09"/>
    <w:rsid w:val="00182ACB"/>
    <w:rsid w:val="00183ED2"/>
    <w:rsid w:val="001A261B"/>
    <w:rsid w:val="001C7667"/>
    <w:rsid w:val="00226695"/>
    <w:rsid w:val="00237F69"/>
    <w:rsid w:val="00265573"/>
    <w:rsid w:val="0027289E"/>
    <w:rsid w:val="00282F02"/>
    <w:rsid w:val="00295907"/>
    <w:rsid w:val="002D79DA"/>
    <w:rsid w:val="002E31B7"/>
    <w:rsid w:val="002F1083"/>
    <w:rsid w:val="002F111E"/>
    <w:rsid w:val="003070D1"/>
    <w:rsid w:val="003102CF"/>
    <w:rsid w:val="00330AE0"/>
    <w:rsid w:val="00336B7E"/>
    <w:rsid w:val="0034351C"/>
    <w:rsid w:val="003445EF"/>
    <w:rsid w:val="00353C24"/>
    <w:rsid w:val="003858B9"/>
    <w:rsid w:val="003A303D"/>
    <w:rsid w:val="003B296D"/>
    <w:rsid w:val="003F64B7"/>
    <w:rsid w:val="00407F23"/>
    <w:rsid w:val="0041316A"/>
    <w:rsid w:val="00416079"/>
    <w:rsid w:val="00436795"/>
    <w:rsid w:val="00441127"/>
    <w:rsid w:val="00442920"/>
    <w:rsid w:val="0046708E"/>
    <w:rsid w:val="004B61D8"/>
    <w:rsid w:val="004C709D"/>
    <w:rsid w:val="004F6094"/>
    <w:rsid w:val="004F7E3D"/>
    <w:rsid w:val="00553CAE"/>
    <w:rsid w:val="005605B7"/>
    <w:rsid w:val="005647A1"/>
    <w:rsid w:val="00565107"/>
    <w:rsid w:val="005815EF"/>
    <w:rsid w:val="00582348"/>
    <w:rsid w:val="00583D25"/>
    <w:rsid w:val="005B3A19"/>
    <w:rsid w:val="005B5729"/>
    <w:rsid w:val="005B5CBA"/>
    <w:rsid w:val="005E22DE"/>
    <w:rsid w:val="005F41AC"/>
    <w:rsid w:val="0060358D"/>
    <w:rsid w:val="00611589"/>
    <w:rsid w:val="00611CF6"/>
    <w:rsid w:val="006134F9"/>
    <w:rsid w:val="006261DB"/>
    <w:rsid w:val="006447C5"/>
    <w:rsid w:val="00647D8E"/>
    <w:rsid w:val="00657B00"/>
    <w:rsid w:val="00662FC4"/>
    <w:rsid w:val="00663859"/>
    <w:rsid w:val="00677B39"/>
    <w:rsid w:val="00681A9E"/>
    <w:rsid w:val="00694B01"/>
    <w:rsid w:val="00694D56"/>
    <w:rsid w:val="006A3322"/>
    <w:rsid w:val="006D0225"/>
    <w:rsid w:val="007042CC"/>
    <w:rsid w:val="007129E9"/>
    <w:rsid w:val="007148A1"/>
    <w:rsid w:val="00714CE8"/>
    <w:rsid w:val="00726670"/>
    <w:rsid w:val="00731A44"/>
    <w:rsid w:val="007352A1"/>
    <w:rsid w:val="007419D1"/>
    <w:rsid w:val="00741CC9"/>
    <w:rsid w:val="00744F3F"/>
    <w:rsid w:val="00755CB4"/>
    <w:rsid w:val="00763467"/>
    <w:rsid w:val="00765C6D"/>
    <w:rsid w:val="007826DA"/>
    <w:rsid w:val="00791444"/>
    <w:rsid w:val="007B49A2"/>
    <w:rsid w:val="007C6471"/>
    <w:rsid w:val="007F34DB"/>
    <w:rsid w:val="007F3DD8"/>
    <w:rsid w:val="007F6560"/>
    <w:rsid w:val="0081070F"/>
    <w:rsid w:val="0084245D"/>
    <w:rsid w:val="008455F2"/>
    <w:rsid w:val="00865892"/>
    <w:rsid w:val="00867C3C"/>
    <w:rsid w:val="00874DB7"/>
    <w:rsid w:val="00880C74"/>
    <w:rsid w:val="00883410"/>
    <w:rsid w:val="008935A0"/>
    <w:rsid w:val="00897A07"/>
    <w:rsid w:val="008C14E4"/>
    <w:rsid w:val="008C4D60"/>
    <w:rsid w:val="008E4C86"/>
    <w:rsid w:val="008F1369"/>
    <w:rsid w:val="008F55FF"/>
    <w:rsid w:val="008F7388"/>
    <w:rsid w:val="00900415"/>
    <w:rsid w:val="00912811"/>
    <w:rsid w:val="009349D5"/>
    <w:rsid w:val="00956D74"/>
    <w:rsid w:val="0097399D"/>
    <w:rsid w:val="009A266F"/>
    <w:rsid w:val="009C480E"/>
    <w:rsid w:val="009E2A4E"/>
    <w:rsid w:val="00A331B4"/>
    <w:rsid w:val="00A339CC"/>
    <w:rsid w:val="00A41448"/>
    <w:rsid w:val="00A421B6"/>
    <w:rsid w:val="00A51687"/>
    <w:rsid w:val="00A671E7"/>
    <w:rsid w:val="00A77252"/>
    <w:rsid w:val="00A80CCF"/>
    <w:rsid w:val="00A8101D"/>
    <w:rsid w:val="00A86540"/>
    <w:rsid w:val="00A90D1C"/>
    <w:rsid w:val="00B01641"/>
    <w:rsid w:val="00B05058"/>
    <w:rsid w:val="00B3064C"/>
    <w:rsid w:val="00B30F0B"/>
    <w:rsid w:val="00B47A66"/>
    <w:rsid w:val="00B506E9"/>
    <w:rsid w:val="00B63D1F"/>
    <w:rsid w:val="00B8184F"/>
    <w:rsid w:val="00B93D92"/>
    <w:rsid w:val="00BC4D80"/>
    <w:rsid w:val="00BD4099"/>
    <w:rsid w:val="00BE1310"/>
    <w:rsid w:val="00C10CA5"/>
    <w:rsid w:val="00C52A23"/>
    <w:rsid w:val="00C60598"/>
    <w:rsid w:val="00C62E56"/>
    <w:rsid w:val="00C645B9"/>
    <w:rsid w:val="00C969E0"/>
    <w:rsid w:val="00CB73B2"/>
    <w:rsid w:val="00CC0B22"/>
    <w:rsid w:val="00D23F2B"/>
    <w:rsid w:val="00D41553"/>
    <w:rsid w:val="00D4460B"/>
    <w:rsid w:val="00D508B8"/>
    <w:rsid w:val="00D552B2"/>
    <w:rsid w:val="00D82DDA"/>
    <w:rsid w:val="00D92884"/>
    <w:rsid w:val="00D97285"/>
    <w:rsid w:val="00DA42B5"/>
    <w:rsid w:val="00DA57FD"/>
    <w:rsid w:val="00DC6631"/>
    <w:rsid w:val="00E50474"/>
    <w:rsid w:val="00E56A9B"/>
    <w:rsid w:val="00E84C61"/>
    <w:rsid w:val="00E850AD"/>
    <w:rsid w:val="00EA6A83"/>
    <w:rsid w:val="00EB69C9"/>
    <w:rsid w:val="00ED7AF8"/>
    <w:rsid w:val="00F14848"/>
    <w:rsid w:val="00F221CA"/>
    <w:rsid w:val="00F51D62"/>
    <w:rsid w:val="00F65A8A"/>
    <w:rsid w:val="00F712B6"/>
    <w:rsid w:val="00F8118D"/>
    <w:rsid w:val="00F82FB1"/>
    <w:rsid w:val="00F83DE4"/>
    <w:rsid w:val="00FF5B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5A8A"/>
    <w:rPr>
      <w:sz w:val="24"/>
      <w:szCs w:val="24"/>
    </w:rPr>
  </w:style>
  <w:style w:type="paragraph" w:styleId="Heading2">
    <w:name w:val="heading 2"/>
    <w:basedOn w:val="Normal"/>
    <w:link w:val="Heading2Char"/>
    <w:uiPriority w:val="9"/>
    <w:qFormat/>
    <w:rsid w:val="00657B00"/>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E13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5B3A19"/>
    <w:pPr>
      <w:tabs>
        <w:tab w:val="center" w:pos="4320"/>
        <w:tab w:val="right" w:pos="8640"/>
      </w:tabs>
    </w:pPr>
  </w:style>
  <w:style w:type="paragraph" w:styleId="Footer">
    <w:name w:val="footer"/>
    <w:basedOn w:val="Normal"/>
    <w:rsid w:val="005B3A19"/>
    <w:pPr>
      <w:tabs>
        <w:tab w:val="center" w:pos="4320"/>
        <w:tab w:val="right" w:pos="8640"/>
      </w:tabs>
    </w:pPr>
  </w:style>
  <w:style w:type="character" w:styleId="PageNumber">
    <w:name w:val="page number"/>
    <w:basedOn w:val="DefaultParagraphFont"/>
    <w:rsid w:val="005B3A19"/>
  </w:style>
  <w:style w:type="paragraph" w:styleId="FootnoteText">
    <w:name w:val="footnote text"/>
    <w:basedOn w:val="Normal"/>
    <w:semiHidden/>
    <w:rsid w:val="00123A09"/>
    <w:rPr>
      <w:sz w:val="20"/>
      <w:szCs w:val="20"/>
    </w:rPr>
  </w:style>
  <w:style w:type="character" w:styleId="FootnoteReference">
    <w:name w:val="footnote reference"/>
    <w:semiHidden/>
    <w:rsid w:val="00123A09"/>
    <w:rPr>
      <w:vertAlign w:val="superscript"/>
    </w:rPr>
  </w:style>
  <w:style w:type="paragraph" w:styleId="BalloonText">
    <w:name w:val="Balloon Text"/>
    <w:basedOn w:val="Normal"/>
    <w:semiHidden/>
    <w:rsid w:val="00731A44"/>
    <w:rPr>
      <w:rFonts w:ascii="Tahoma" w:hAnsi="Tahoma" w:cs="Tahoma"/>
      <w:sz w:val="16"/>
      <w:szCs w:val="16"/>
    </w:rPr>
  </w:style>
  <w:style w:type="character" w:customStyle="1" w:styleId="Heading2Char">
    <w:name w:val="Heading 2 Char"/>
    <w:basedOn w:val="DefaultParagraphFont"/>
    <w:link w:val="Heading2"/>
    <w:uiPriority w:val="9"/>
    <w:rsid w:val="00657B00"/>
    <w:rPr>
      <w:b/>
      <w:bCs/>
      <w:sz w:val="36"/>
      <w:szCs w:val="36"/>
    </w:rPr>
  </w:style>
  <w:style w:type="paragraph" w:styleId="NormalWeb">
    <w:name w:val="Normal (Web)"/>
    <w:basedOn w:val="Normal"/>
    <w:uiPriority w:val="99"/>
    <w:unhideWhenUsed/>
    <w:rsid w:val="00657B00"/>
    <w:pPr>
      <w:spacing w:before="100" w:beforeAutospacing="1" w:after="100" w:afterAutospacing="1"/>
    </w:pPr>
  </w:style>
  <w:style w:type="character" w:styleId="Hyperlink">
    <w:name w:val="Hyperlink"/>
    <w:basedOn w:val="DefaultParagraphFont"/>
    <w:rsid w:val="00A80CC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399734">
      <w:bodyDiv w:val="1"/>
      <w:marLeft w:val="0"/>
      <w:marRight w:val="0"/>
      <w:marTop w:val="0"/>
      <w:marBottom w:val="0"/>
      <w:divBdr>
        <w:top w:val="none" w:sz="0" w:space="0" w:color="auto"/>
        <w:left w:val="none" w:sz="0" w:space="0" w:color="auto"/>
        <w:bottom w:val="none" w:sz="0" w:space="0" w:color="auto"/>
        <w:right w:val="none" w:sz="0" w:space="0" w:color="auto"/>
      </w:divBdr>
    </w:div>
    <w:div w:id="815685499">
      <w:bodyDiv w:val="1"/>
      <w:marLeft w:val="0"/>
      <w:marRight w:val="0"/>
      <w:marTop w:val="0"/>
      <w:marBottom w:val="0"/>
      <w:divBdr>
        <w:top w:val="none" w:sz="0" w:space="0" w:color="auto"/>
        <w:left w:val="none" w:sz="0" w:space="0" w:color="auto"/>
        <w:bottom w:val="none" w:sz="0" w:space="0" w:color="auto"/>
        <w:right w:val="none" w:sz="0" w:space="0" w:color="auto"/>
      </w:divBdr>
    </w:div>
    <w:div w:id="1046105347">
      <w:bodyDiv w:val="1"/>
      <w:marLeft w:val="0"/>
      <w:marRight w:val="0"/>
      <w:marTop w:val="0"/>
      <w:marBottom w:val="0"/>
      <w:divBdr>
        <w:top w:val="none" w:sz="0" w:space="0" w:color="auto"/>
        <w:left w:val="none" w:sz="0" w:space="0" w:color="auto"/>
        <w:bottom w:val="none" w:sz="0" w:space="0" w:color="auto"/>
        <w:right w:val="none" w:sz="0" w:space="0" w:color="auto"/>
      </w:divBdr>
    </w:div>
    <w:div w:id="1129785546">
      <w:bodyDiv w:val="1"/>
      <w:marLeft w:val="0"/>
      <w:marRight w:val="0"/>
      <w:marTop w:val="0"/>
      <w:marBottom w:val="0"/>
      <w:divBdr>
        <w:top w:val="none" w:sz="0" w:space="0" w:color="auto"/>
        <w:left w:val="none" w:sz="0" w:space="0" w:color="auto"/>
        <w:bottom w:val="none" w:sz="0" w:space="0" w:color="auto"/>
        <w:right w:val="none" w:sz="0" w:space="0" w:color="auto"/>
      </w:divBdr>
    </w:div>
    <w:div w:id="204709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dnb.com/business-directory/company-information.oil_and_gas_extraction.ca.alberta.html" TargetMode="External"/><Relationship Id="rId13" Type="http://schemas.openxmlformats.org/officeDocument/2006/relationships/hyperlink" Target="https://www.iea.org/reports/oil-market-report-january-202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oil-gasportal.com/drilling/new-technologies-innovations/" TargetMode="External"/><Relationship Id="rId17" Type="http://schemas.openxmlformats.org/officeDocument/2006/relationships/hyperlink" Target="https://www.frascanada.ca/en/acsb/about/what-are-accounting-standards" TargetMode="External"/><Relationship Id="rId2" Type="http://schemas.openxmlformats.org/officeDocument/2006/relationships/numbering" Target="numbering.xml"/><Relationship Id="rId16" Type="http://schemas.openxmlformats.org/officeDocument/2006/relationships/hyperlink" Target="https://www150.statcan.gc.ca/n1/pub/36-28-0001/2021007/article/00003-eng.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earsoncanada.ca/media/highered-showcase/multi-product-showcase/arens-ch07.pdf" TargetMode="External"/><Relationship Id="rId5" Type="http://schemas.openxmlformats.org/officeDocument/2006/relationships/webSettings" Target="webSettings.xml"/><Relationship Id="rId15" Type="http://schemas.openxmlformats.org/officeDocument/2006/relationships/hyperlink" Target="https://www.tsx.com/resource/en/69" TargetMode="External"/><Relationship Id="rId10" Type="http://schemas.openxmlformats.org/officeDocument/2006/relationships/hyperlink" Target="https://www.statista.com/statistics/433977/select-canadian-oil-and-gas-company-revenues/"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app.ca/environment/innovation/" TargetMode="External"/><Relationship Id="rId14" Type="http://schemas.openxmlformats.org/officeDocument/2006/relationships/hyperlink" Target="https://boereport.com/2021/04/20/the-innovations-driving-canadas-oil-and-gas-secto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74A599-9CC6-4C9A-936A-6C742E20F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7</Pages>
  <Words>1610</Words>
  <Characters>9182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Appendix B</vt:lpstr>
    </vt:vector>
  </TitlesOfParts>
  <Company>GBC</Company>
  <LinksUpToDate>false</LinksUpToDate>
  <CharactersWithSpaces>10771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dc:title>
  <dc:creator>BAB Student</dc:creator>
  <cp:lastModifiedBy>awais.imran</cp:lastModifiedBy>
  <cp:revision>40</cp:revision>
  <cp:lastPrinted>2012-10-03T10:03:00Z</cp:lastPrinted>
  <dcterms:created xsi:type="dcterms:W3CDTF">2021-11-09T08:17:00Z</dcterms:created>
  <dcterms:modified xsi:type="dcterms:W3CDTF">2021-11-10T11:25:00Z</dcterms:modified>
</cp:coreProperties>
</file>